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0327" w:rsidRPr="001915FE" w:rsidRDefault="00380327" w:rsidP="00380327">
      <w:pPr>
        <w:spacing w:after="0" w:line="240" w:lineRule="auto"/>
        <w:ind w:left="5040" w:firstLine="720"/>
        <w:rPr>
          <w:rFonts w:ascii="David" w:hAnsi="David" w:cs="David"/>
          <w:sz w:val="24"/>
          <w:szCs w:val="24"/>
          <w:rtl/>
        </w:rPr>
      </w:pPr>
      <w:r>
        <w:rPr>
          <w:rFonts w:ascii="David" w:hAnsi="David" w:cs="David" w:hint="cs"/>
          <w:sz w:val="24"/>
          <w:szCs w:val="24"/>
          <w:rtl/>
        </w:rPr>
        <w:t xml:space="preserve">          י'</w:t>
      </w:r>
      <w:r w:rsidRPr="001915FE">
        <w:rPr>
          <w:rFonts w:ascii="David" w:hAnsi="David" w:cs="David"/>
          <w:sz w:val="24"/>
          <w:szCs w:val="24"/>
          <w:rtl/>
        </w:rPr>
        <w:t xml:space="preserve"> בחשון התשע"</w:t>
      </w:r>
      <w:r>
        <w:rPr>
          <w:rFonts w:ascii="David" w:hAnsi="David" w:cs="David" w:hint="cs"/>
          <w:sz w:val="24"/>
          <w:szCs w:val="24"/>
          <w:rtl/>
        </w:rPr>
        <w:t>ח</w:t>
      </w:r>
    </w:p>
    <w:p w:rsidR="00380327" w:rsidRPr="001915FE" w:rsidRDefault="00380327" w:rsidP="00380327">
      <w:pPr>
        <w:spacing w:after="0" w:line="240" w:lineRule="auto"/>
        <w:rPr>
          <w:rFonts w:ascii="David" w:hAnsi="David" w:cs="David"/>
          <w:sz w:val="24"/>
          <w:szCs w:val="24"/>
          <w:rtl/>
        </w:rPr>
      </w:pPr>
      <w:r w:rsidRPr="001915FE">
        <w:rPr>
          <w:rFonts w:ascii="David" w:hAnsi="David" w:cs="David"/>
          <w:sz w:val="24"/>
          <w:szCs w:val="24"/>
          <w:rtl/>
        </w:rPr>
        <w:tab/>
      </w:r>
      <w:r w:rsidRPr="001915FE">
        <w:rPr>
          <w:rFonts w:ascii="David" w:hAnsi="David" w:cs="David"/>
          <w:sz w:val="24"/>
          <w:szCs w:val="24"/>
          <w:rtl/>
        </w:rPr>
        <w:tab/>
      </w:r>
      <w:r w:rsidRPr="001915FE">
        <w:rPr>
          <w:rFonts w:ascii="David" w:hAnsi="David" w:cs="David"/>
          <w:sz w:val="24"/>
          <w:szCs w:val="24"/>
          <w:rtl/>
        </w:rPr>
        <w:tab/>
      </w:r>
      <w:r w:rsidRPr="001915FE">
        <w:rPr>
          <w:rFonts w:ascii="David" w:hAnsi="David" w:cs="David"/>
          <w:sz w:val="24"/>
          <w:szCs w:val="24"/>
          <w:rtl/>
        </w:rPr>
        <w:tab/>
      </w:r>
      <w:r w:rsidRPr="001915FE">
        <w:rPr>
          <w:rFonts w:ascii="David" w:hAnsi="David" w:cs="David"/>
          <w:sz w:val="24"/>
          <w:szCs w:val="24"/>
          <w:rtl/>
        </w:rPr>
        <w:tab/>
      </w:r>
      <w:r w:rsidRPr="001915FE">
        <w:rPr>
          <w:rFonts w:ascii="David" w:hAnsi="David" w:cs="David"/>
          <w:sz w:val="24"/>
          <w:szCs w:val="24"/>
          <w:rtl/>
        </w:rPr>
        <w:tab/>
      </w:r>
      <w:r w:rsidRPr="001915FE">
        <w:rPr>
          <w:rFonts w:ascii="David" w:hAnsi="David" w:cs="David"/>
          <w:sz w:val="24"/>
          <w:szCs w:val="24"/>
          <w:rtl/>
        </w:rPr>
        <w:tab/>
      </w:r>
      <w:r>
        <w:rPr>
          <w:rFonts w:ascii="David" w:hAnsi="David" w:cs="David" w:hint="cs"/>
          <w:sz w:val="24"/>
          <w:szCs w:val="24"/>
          <w:rtl/>
        </w:rPr>
        <w:t xml:space="preserve">                       30 </w:t>
      </w:r>
      <w:r w:rsidRPr="001915FE">
        <w:rPr>
          <w:rFonts w:ascii="David" w:hAnsi="David" w:cs="David"/>
          <w:sz w:val="24"/>
          <w:szCs w:val="24"/>
          <w:rtl/>
        </w:rPr>
        <w:t>באוקטובר 201</w:t>
      </w:r>
      <w:r>
        <w:rPr>
          <w:rFonts w:ascii="David" w:hAnsi="David" w:cs="David" w:hint="cs"/>
          <w:sz w:val="24"/>
          <w:szCs w:val="24"/>
          <w:rtl/>
        </w:rPr>
        <w:t>7</w:t>
      </w:r>
    </w:p>
    <w:p w:rsidR="00380327" w:rsidRPr="001915FE" w:rsidRDefault="00380327" w:rsidP="00380327">
      <w:pPr>
        <w:spacing w:after="0" w:line="240" w:lineRule="auto"/>
        <w:rPr>
          <w:rFonts w:ascii="David" w:hAnsi="David" w:cs="David"/>
          <w:sz w:val="24"/>
          <w:szCs w:val="24"/>
          <w:rtl/>
        </w:rPr>
      </w:pPr>
    </w:p>
    <w:p w:rsidR="00380327" w:rsidRPr="001915FE" w:rsidRDefault="00380327" w:rsidP="00380327">
      <w:pPr>
        <w:spacing w:after="0" w:line="240" w:lineRule="auto"/>
        <w:rPr>
          <w:rFonts w:ascii="David" w:hAnsi="David" w:cs="David"/>
          <w:sz w:val="24"/>
          <w:szCs w:val="24"/>
          <w:rtl/>
        </w:rPr>
      </w:pPr>
      <w:r w:rsidRPr="001915FE">
        <w:rPr>
          <w:rFonts w:ascii="David" w:hAnsi="David" w:cs="David"/>
          <w:sz w:val="24"/>
          <w:szCs w:val="24"/>
          <w:rtl/>
        </w:rPr>
        <w:t xml:space="preserve">לכבוד חברי ועדת חוקה, חוק ומשפט </w:t>
      </w:r>
    </w:p>
    <w:p w:rsidR="00380327" w:rsidRPr="001915FE" w:rsidRDefault="00380327" w:rsidP="00380327">
      <w:pPr>
        <w:spacing w:after="0" w:line="240" w:lineRule="auto"/>
        <w:rPr>
          <w:rFonts w:ascii="David" w:hAnsi="David" w:cs="David"/>
          <w:sz w:val="24"/>
          <w:szCs w:val="24"/>
          <w:rtl/>
        </w:rPr>
      </w:pPr>
      <w:r w:rsidRPr="001915FE">
        <w:rPr>
          <w:rFonts w:ascii="David" w:hAnsi="David" w:cs="David"/>
          <w:sz w:val="24"/>
          <w:szCs w:val="24"/>
          <w:rtl/>
        </w:rPr>
        <w:t>מאת: הייעוץ המשפטי לוועדה</w:t>
      </w:r>
    </w:p>
    <w:p w:rsidR="00380327" w:rsidRPr="001915FE" w:rsidRDefault="00380327" w:rsidP="00380327">
      <w:pPr>
        <w:rPr>
          <w:rFonts w:ascii="David" w:hAnsi="David" w:cs="David"/>
          <w:sz w:val="24"/>
          <w:szCs w:val="24"/>
          <w:rtl/>
        </w:rPr>
      </w:pPr>
    </w:p>
    <w:p w:rsidR="00380327" w:rsidRPr="001915FE" w:rsidRDefault="00380327" w:rsidP="00380327">
      <w:pPr>
        <w:spacing w:before="120" w:after="0" w:line="360" w:lineRule="auto"/>
        <w:jc w:val="center"/>
        <w:rPr>
          <w:rFonts w:ascii="David" w:hAnsi="David" w:cs="David"/>
          <w:b/>
          <w:bCs/>
          <w:sz w:val="24"/>
          <w:szCs w:val="24"/>
          <w:u w:val="single"/>
          <w:rtl/>
        </w:rPr>
      </w:pPr>
      <w:r w:rsidRPr="001915FE">
        <w:rPr>
          <w:rFonts w:ascii="David" w:hAnsi="David" w:cs="David"/>
          <w:b/>
          <w:bCs/>
          <w:sz w:val="24"/>
          <w:szCs w:val="24"/>
          <w:u w:val="single"/>
          <w:rtl/>
        </w:rPr>
        <w:t xml:space="preserve">מסמך רקע </w:t>
      </w:r>
      <w:r w:rsidRPr="00360CB9">
        <w:rPr>
          <w:rFonts w:ascii="David" w:hAnsi="David" w:cs="David"/>
          <w:b/>
          <w:bCs/>
          <w:sz w:val="24"/>
          <w:szCs w:val="24"/>
          <w:u w:val="single"/>
          <w:rtl/>
        </w:rPr>
        <w:t xml:space="preserve">לקראת דיון הוועדה ביום  </w:t>
      </w:r>
      <w:r w:rsidRPr="00360CB9">
        <w:rPr>
          <w:rFonts w:ascii="David" w:hAnsi="David" w:cs="David" w:hint="cs"/>
          <w:b/>
          <w:bCs/>
          <w:sz w:val="24"/>
          <w:szCs w:val="24"/>
          <w:u w:val="single"/>
          <w:rtl/>
        </w:rPr>
        <w:t>31.10.17</w:t>
      </w:r>
      <w:r w:rsidRPr="00360CB9">
        <w:rPr>
          <w:rFonts w:ascii="David" w:hAnsi="David" w:cs="David"/>
          <w:b/>
          <w:bCs/>
          <w:sz w:val="24"/>
          <w:szCs w:val="24"/>
          <w:u w:val="single"/>
          <w:rtl/>
        </w:rPr>
        <w:t xml:space="preserve">  בהצעות</w:t>
      </w:r>
      <w:r w:rsidRPr="001915FE">
        <w:rPr>
          <w:rFonts w:ascii="David" w:hAnsi="David" w:cs="David"/>
          <w:b/>
          <w:bCs/>
          <w:sz w:val="24"/>
          <w:szCs w:val="24"/>
          <w:u w:val="single"/>
          <w:rtl/>
        </w:rPr>
        <w:t xml:space="preserve"> החוק בנושא עבירות ההמתה </w:t>
      </w:r>
    </w:p>
    <w:p w:rsidR="00380327" w:rsidRPr="001915FE" w:rsidRDefault="00380327" w:rsidP="00380327">
      <w:pPr>
        <w:spacing w:after="0" w:line="240" w:lineRule="auto"/>
        <w:jc w:val="center"/>
        <w:rPr>
          <w:rFonts w:ascii="David" w:hAnsi="David" w:cs="David"/>
          <w:b/>
          <w:bCs/>
          <w:u w:val="single"/>
          <w:rtl/>
        </w:rPr>
      </w:pPr>
      <w:r w:rsidRPr="001915FE">
        <w:rPr>
          <w:rFonts w:ascii="David" w:hAnsi="David" w:cs="David"/>
          <w:b/>
          <w:bCs/>
          <w:u w:val="single"/>
          <w:rtl/>
        </w:rPr>
        <w:t>הצעת חוק העונשין (תיקון מס' 124) (עבירות המתה), התשע"ו-2015</w:t>
      </w:r>
    </w:p>
    <w:p w:rsidR="00380327" w:rsidRPr="001915FE" w:rsidRDefault="00380327" w:rsidP="00380327">
      <w:pPr>
        <w:spacing w:after="0" w:line="240" w:lineRule="auto"/>
        <w:jc w:val="center"/>
        <w:rPr>
          <w:rFonts w:ascii="David" w:hAnsi="David" w:cs="David"/>
          <w:b/>
          <w:bCs/>
          <w:u w:val="single"/>
          <w:rtl/>
        </w:rPr>
      </w:pPr>
      <w:r w:rsidRPr="001915FE">
        <w:rPr>
          <w:rFonts w:ascii="David" w:eastAsia="David" w:hAnsi="David" w:cs="David"/>
          <w:b/>
          <w:bCs/>
          <w:u w:val="single"/>
          <w:rtl/>
        </w:rPr>
        <w:t>הצעת חוק העונשין (תיקון - עבירת רצח), התשע"ה-2015 (פ/1499/20) של חה"כ ניסן סלומינסקי</w:t>
      </w:r>
      <w:r w:rsidRPr="001915FE">
        <w:rPr>
          <w:rFonts w:ascii="David" w:hAnsi="David" w:cs="David"/>
          <w:b/>
          <w:bCs/>
          <w:u w:val="single"/>
          <w:rtl/>
        </w:rPr>
        <w:t xml:space="preserve"> </w:t>
      </w:r>
    </w:p>
    <w:p w:rsidR="00380327" w:rsidRPr="001915FE" w:rsidRDefault="00380327" w:rsidP="00380327">
      <w:pPr>
        <w:spacing w:after="0" w:line="240" w:lineRule="auto"/>
        <w:jc w:val="center"/>
        <w:rPr>
          <w:rFonts w:ascii="David" w:hAnsi="David" w:cs="David"/>
          <w:b/>
          <w:bCs/>
          <w:u w:val="single"/>
        </w:rPr>
      </w:pPr>
      <w:r w:rsidRPr="001915FE">
        <w:rPr>
          <w:rFonts w:ascii="David" w:eastAsia="David" w:hAnsi="David" w:cs="David"/>
          <w:b/>
          <w:bCs/>
          <w:u w:val="single"/>
          <w:rtl/>
        </w:rPr>
        <w:t>הצעת חוק העונשין (תיקון–עבירות המתה ורשלנות), התשע"ו–2015 (פ/2321/20) של חה"כ מיקי רוזנטל</w:t>
      </w:r>
    </w:p>
    <w:p w:rsidR="00380327" w:rsidRPr="001915FE" w:rsidRDefault="00380327" w:rsidP="00380327">
      <w:pPr>
        <w:rPr>
          <w:rFonts w:ascii="David" w:hAnsi="David" w:cs="David"/>
          <w:sz w:val="24"/>
          <w:szCs w:val="24"/>
          <w:rtl/>
        </w:rPr>
      </w:pPr>
    </w:p>
    <w:p w:rsidR="00380327" w:rsidRPr="001915FE" w:rsidRDefault="00380327" w:rsidP="00380327">
      <w:pPr>
        <w:spacing w:after="120" w:line="360" w:lineRule="auto"/>
        <w:jc w:val="both"/>
        <w:rPr>
          <w:rFonts w:ascii="David" w:hAnsi="David" w:cs="David"/>
          <w:sz w:val="24"/>
          <w:szCs w:val="24"/>
          <w:rtl/>
        </w:rPr>
      </w:pPr>
      <w:r w:rsidRPr="001915FE">
        <w:rPr>
          <w:rFonts w:ascii="David" w:hAnsi="David" w:cs="David"/>
          <w:sz w:val="24"/>
          <w:szCs w:val="24"/>
          <w:rtl/>
        </w:rPr>
        <w:t>בהמשך למסמכי הרקע הקודמים, נתייחס במסמך זה לנסיבות ש</w:t>
      </w:r>
      <w:r>
        <w:rPr>
          <w:rFonts w:ascii="David" w:hAnsi="David" w:cs="David" w:hint="cs"/>
          <w:sz w:val="24"/>
          <w:szCs w:val="24"/>
          <w:rtl/>
        </w:rPr>
        <w:t xml:space="preserve">מוצע </w:t>
      </w:r>
      <w:r w:rsidRPr="001915FE">
        <w:rPr>
          <w:rFonts w:ascii="David" w:hAnsi="David" w:cs="David"/>
          <w:sz w:val="24"/>
          <w:szCs w:val="24"/>
          <w:rtl/>
        </w:rPr>
        <w:t>לקבוע כ</w:t>
      </w:r>
      <w:r>
        <w:rPr>
          <w:rFonts w:ascii="David" w:hAnsi="David" w:cs="David" w:hint="cs"/>
          <w:sz w:val="24"/>
          <w:szCs w:val="24"/>
          <w:rtl/>
        </w:rPr>
        <w:t xml:space="preserve">נסיבות </w:t>
      </w:r>
      <w:r w:rsidRPr="001915FE">
        <w:rPr>
          <w:rFonts w:ascii="David" w:hAnsi="David" w:cs="David"/>
          <w:sz w:val="24"/>
          <w:szCs w:val="24"/>
          <w:rtl/>
        </w:rPr>
        <w:t>שיגבשו את עבירת הרצח בנסיבות מחמירות</w:t>
      </w:r>
      <w:r>
        <w:rPr>
          <w:rFonts w:ascii="David" w:hAnsi="David" w:cs="David" w:hint="cs"/>
          <w:sz w:val="24"/>
          <w:szCs w:val="24"/>
          <w:rtl/>
        </w:rPr>
        <w:t>,</w:t>
      </w:r>
      <w:r w:rsidRPr="001915FE">
        <w:rPr>
          <w:rFonts w:ascii="David" w:hAnsi="David" w:cs="David"/>
          <w:sz w:val="24"/>
          <w:szCs w:val="24"/>
          <w:rtl/>
        </w:rPr>
        <w:t xml:space="preserve"> שלצדו עונש מאסר עולם </w:t>
      </w:r>
      <w:r w:rsidRPr="001915FE">
        <w:rPr>
          <w:rFonts w:ascii="David" w:hAnsi="David" w:cs="David"/>
          <w:sz w:val="24"/>
          <w:szCs w:val="24"/>
          <w:u w:val="single"/>
          <w:rtl/>
        </w:rPr>
        <w:t>חובה</w:t>
      </w:r>
      <w:r w:rsidRPr="001915FE">
        <w:rPr>
          <w:rFonts w:ascii="David" w:hAnsi="David" w:cs="David"/>
          <w:sz w:val="24"/>
          <w:szCs w:val="24"/>
          <w:rtl/>
        </w:rPr>
        <w:t>.</w:t>
      </w:r>
    </w:p>
    <w:p w:rsidR="00380327" w:rsidRPr="001915FE" w:rsidRDefault="00380327" w:rsidP="00380327">
      <w:pPr>
        <w:spacing w:after="120" w:line="360" w:lineRule="auto"/>
        <w:jc w:val="both"/>
        <w:rPr>
          <w:rFonts w:ascii="David" w:hAnsi="David" w:cs="David"/>
          <w:sz w:val="24"/>
          <w:szCs w:val="24"/>
        </w:rPr>
      </w:pPr>
      <w:r w:rsidRPr="001915FE">
        <w:rPr>
          <w:rFonts w:ascii="David" w:hAnsi="David" w:cs="David"/>
          <w:sz w:val="24"/>
          <w:szCs w:val="24"/>
          <w:rtl/>
        </w:rPr>
        <w:t xml:space="preserve">השאלה המרכזית שניצבת בפני המחוקק היא </w:t>
      </w:r>
      <w:r w:rsidRPr="00E54446">
        <w:rPr>
          <w:rFonts w:ascii="David" w:hAnsi="David" w:cs="David"/>
          <w:sz w:val="24"/>
          <w:szCs w:val="24"/>
          <w:u w:val="single"/>
          <w:rtl/>
        </w:rPr>
        <w:t>האם אפשר להבחין בין מקרי רצח</w:t>
      </w:r>
      <w:r w:rsidRPr="001915FE">
        <w:rPr>
          <w:rFonts w:ascii="David" w:hAnsi="David" w:cs="David"/>
          <w:sz w:val="24"/>
          <w:szCs w:val="24"/>
          <w:rtl/>
        </w:rPr>
        <w:t>, ואם כן, מהי אמת המידה להבחנה- האם דרגת האשמה, המסוכנות או גם שיקולים נוספים, ומהן אותן נסיבות שמבטאות את דרגת האשמה החמורה ביותר ושבהתקיימותן תתגבש העבירה החמורה ביותר שלצדה עונש מאסר עולם חובה</w:t>
      </w:r>
      <w:r>
        <w:rPr>
          <w:rFonts w:ascii="David" w:hAnsi="David" w:cs="David" w:hint="cs"/>
          <w:sz w:val="24"/>
          <w:szCs w:val="24"/>
          <w:rtl/>
        </w:rPr>
        <w:t xml:space="preserve"> כאמור</w:t>
      </w:r>
      <w:r w:rsidRPr="001915FE">
        <w:rPr>
          <w:rFonts w:ascii="David" w:hAnsi="David" w:cs="David"/>
          <w:sz w:val="24"/>
          <w:szCs w:val="24"/>
          <w:rtl/>
        </w:rPr>
        <w:t xml:space="preserve">. </w:t>
      </w:r>
    </w:p>
    <w:p w:rsidR="00380327" w:rsidRPr="001915FE" w:rsidRDefault="00380327" w:rsidP="00380327">
      <w:pPr>
        <w:spacing w:after="120" w:line="360" w:lineRule="auto"/>
        <w:jc w:val="both"/>
        <w:rPr>
          <w:rFonts w:ascii="David" w:hAnsi="David" w:cs="David"/>
          <w:sz w:val="24"/>
          <w:szCs w:val="24"/>
          <w:rtl/>
        </w:rPr>
      </w:pPr>
      <w:r w:rsidRPr="001915FE">
        <w:rPr>
          <w:rFonts w:ascii="David" w:hAnsi="David" w:cs="David"/>
          <w:sz w:val="24"/>
          <w:szCs w:val="24"/>
          <w:rtl/>
        </w:rPr>
        <w:t xml:space="preserve">במסמך זה נסקור כל אחת מהנסיבות המוצעות בהצעת החוק הממשלתית ואת הדילמות  שמעוררת כל נסיבה. </w:t>
      </w:r>
    </w:p>
    <w:p w:rsidR="00380327" w:rsidRPr="001915FE" w:rsidRDefault="00380327" w:rsidP="00380327">
      <w:pPr>
        <w:rPr>
          <w:rFonts w:ascii="David" w:hAnsi="David" w:cs="David"/>
          <w:b/>
          <w:bCs/>
          <w:sz w:val="24"/>
          <w:szCs w:val="24"/>
          <w:rtl/>
        </w:rPr>
      </w:pPr>
    </w:p>
    <w:p w:rsidR="00380327" w:rsidRPr="001915FE" w:rsidRDefault="00380327" w:rsidP="00380327">
      <w:pPr>
        <w:rPr>
          <w:rFonts w:ascii="David" w:hAnsi="David" w:cs="David"/>
          <w:b/>
          <w:bCs/>
          <w:sz w:val="24"/>
          <w:szCs w:val="24"/>
          <w:rtl/>
        </w:rPr>
      </w:pPr>
      <w:r w:rsidRPr="001915FE">
        <w:rPr>
          <w:rFonts w:ascii="David" w:hAnsi="David" w:cs="David"/>
          <w:b/>
          <w:bCs/>
          <w:sz w:val="24"/>
          <w:szCs w:val="24"/>
          <w:rtl/>
        </w:rPr>
        <w:t>רקע</w:t>
      </w:r>
    </w:p>
    <w:p w:rsidR="00380327" w:rsidRPr="001915FE" w:rsidRDefault="00380327" w:rsidP="00380327">
      <w:pPr>
        <w:spacing w:before="120" w:after="0" w:line="360" w:lineRule="auto"/>
        <w:jc w:val="both"/>
        <w:rPr>
          <w:rFonts w:ascii="David" w:hAnsi="David" w:cs="David"/>
          <w:sz w:val="24"/>
          <w:szCs w:val="24"/>
          <w:rtl/>
        </w:rPr>
      </w:pPr>
      <w:r>
        <w:rPr>
          <w:rFonts w:ascii="David" w:hAnsi="David" w:cs="David" w:hint="cs"/>
          <w:sz w:val="24"/>
          <w:szCs w:val="24"/>
          <w:rtl/>
        </w:rPr>
        <w:t>כפי שצוין במסמכים הקודמים, ול</w:t>
      </w:r>
      <w:r w:rsidRPr="001915FE">
        <w:rPr>
          <w:rFonts w:ascii="David" w:hAnsi="David" w:cs="David"/>
          <w:sz w:val="24"/>
          <w:szCs w:val="24"/>
          <w:rtl/>
        </w:rPr>
        <w:t>שם הנוחות</w:t>
      </w:r>
      <w:r>
        <w:rPr>
          <w:rFonts w:ascii="David" w:hAnsi="David" w:cs="David" w:hint="cs"/>
          <w:sz w:val="24"/>
          <w:szCs w:val="24"/>
          <w:rtl/>
        </w:rPr>
        <w:t>,</w:t>
      </w:r>
      <w:r w:rsidRPr="001915FE">
        <w:rPr>
          <w:rFonts w:ascii="David" w:hAnsi="David" w:cs="David"/>
          <w:sz w:val="24"/>
          <w:szCs w:val="24"/>
          <w:rtl/>
        </w:rPr>
        <w:t xml:space="preserve"> נחזור שוב על יסודות עבירת הרצח כניסוחה כיום בסעיף 300 </w:t>
      </w:r>
      <w:r>
        <w:rPr>
          <w:rFonts w:ascii="David" w:hAnsi="David" w:cs="David" w:hint="cs"/>
          <w:sz w:val="24"/>
          <w:szCs w:val="24"/>
          <w:rtl/>
        </w:rPr>
        <w:t xml:space="preserve">לחוק העונשין, התשל"ז-1977 (להלן </w:t>
      </w:r>
      <w:r>
        <w:rPr>
          <w:rFonts w:ascii="David" w:hAnsi="David" w:cs="David"/>
          <w:sz w:val="24"/>
          <w:szCs w:val="24"/>
          <w:rtl/>
        </w:rPr>
        <w:t>–</w:t>
      </w:r>
      <w:r>
        <w:rPr>
          <w:rFonts w:ascii="David" w:hAnsi="David" w:cs="David" w:hint="cs"/>
          <w:sz w:val="24"/>
          <w:szCs w:val="24"/>
          <w:rtl/>
        </w:rPr>
        <w:t xml:space="preserve"> "חוק העונשין" או "החוק") </w:t>
      </w:r>
      <w:r w:rsidRPr="001915FE">
        <w:rPr>
          <w:rFonts w:ascii="David" w:hAnsi="David" w:cs="David"/>
          <w:sz w:val="24"/>
          <w:szCs w:val="24"/>
          <w:rtl/>
        </w:rPr>
        <w:t xml:space="preserve">אשר לצדה עונש מאסר עולם </w:t>
      </w:r>
      <w:r w:rsidRPr="001915FE">
        <w:rPr>
          <w:rFonts w:ascii="David" w:hAnsi="David" w:cs="David"/>
          <w:sz w:val="24"/>
          <w:szCs w:val="24"/>
          <w:u w:val="single"/>
          <w:rtl/>
        </w:rPr>
        <w:t>חובה</w:t>
      </w:r>
      <w:r w:rsidRPr="001915FE">
        <w:rPr>
          <w:rFonts w:ascii="David" w:hAnsi="David" w:cs="David"/>
          <w:sz w:val="24"/>
          <w:szCs w:val="24"/>
          <w:rtl/>
        </w:rPr>
        <w:t>, כדלקמן:</w:t>
      </w:r>
    </w:p>
    <w:tbl>
      <w:tblPr>
        <w:tblStyle w:val="a3"/>
        <w:bidiVisual/>
        <w:tblW w:w="0" w:type="auto"/>
        <w:tblLook w:val="04A0" w:firstRow="1" w:lastRow="0" w:firstColumn="1" w:lastColumn="0" w:noHBand="0" w:noVBand="1"/>
      </w:tblPr>
      <w:tblGrid>
        <w:gridCol w:w="8296"/>
      </w:tblGrid>
      <w:tr w:rsidR="00380327" w:rsidRPr="001915FE" w:rsidTr="00273FE7">
        <w:tc>
          <w:tcPr>
            <w:tcW w:w="8296" w:type="dxa"/>
          </w:tcPr>
          <w:p w:rsidR="00380327" w:rsidRPr="001915FE" w:rsidRDefault="00380327" w:rsidP="00273FE7">
            <w:pPr>
              <w:spacing w:before="120" w:line="360" w:lineRule="auto"/>
              <w:rPr>
                <w:rFonts w:ascii="David" w:hAnsi="David" w:cs="David"/>
                <w:sz w:val="24"/>
                <w:szCs w:val="24"/>
                <w:rtl/>
              </w:rPr>
            </w:pPr>
            <w:r w:rsidRPr="001915FE">
              <w:rPr>
                <w:rFonts w:ascii="David" w:hAnsi="David" w:cs="David"/>
                <w:sz w:val="24"/>
                <w:szCs w:val="24"/>
                <w:rtl/>
              </w:rPr>
              <w:t xml:space="preserve">300. </w:t>
            </w:r>
            <w:r w:rsidRPr="001915FE">
              <w:rPr>
                <w:rFonts w:ascii="David" w:hAnsi="David" w:cs="David"/>
                <w:b/>
                <w:bCs/>
                <w:sz w:val="24"/>
                <w:szCs w:val="24"/>
                <w:rtl/>
              </w:rPr>
              <w:t>רצח</w:t>
            </w:r>
          </w:p>
          <w:p w:rsidR="00380327" w:rsidRPr="001915FE" w:rsidRDefault="00380327" w:rsidP="00273FE7">
            <w:pPr>
              <w:spacing w:before="120" w:line="360" w:lineRule="auto"/>
              <w:rPr>
                <w:rFonts w:ascii="David" w:hAnsi="David" w:cs="David"/>
                <w:sz w:val="24"/>
                <w:szCs w:val="24"/>
                <w:rtl/>
              </w:rPr>
            </w:pPr>
            <w:r w:rsidRPr="001915FE">
              <w:rPr>
                <w:rFonts w:ascii="David" w:hAnsi="David" w:cs="David"/>
                <w:sz w:val="24"/>
                <w:szCs w:val="24"/>
                <w:rtl/>
              </w:rPr>
              <w:t>(א) העושה אחת מאלה יאשם ברצח ודינו- מאסר עולם ועונש זה בלבד:</w:t>
            </w:r>
          </w:p>
          <w:p w:rsidR="00380327" w:rsidRPr="001915FE" w:rsidRDefault="00380327" w:rsidP="00273FE7">
            <w:pPr>
              <w:pStyle w:val="P22"/>
              <w:numPr>
                <w:ilvl w:val="0"/>
                <w:numId w:val="1"/>
              </w:numPr>
              <w:spacing w:before="120" w:line="360" w:lineRule="auto"/>
              <w:ind w:right="1134"/>
              <w:rPr>
                <w:rStyle w:val="default"/>
                <w:rFonts w:ascii="David" w:hAnsi="David" w:cs="David"/>
                <w:sz w:val="24"/>
                <w:szCs w:val="24"/>
                <w:rtl/>
              </w:rPr>
            </w:pPr>
            <w:r w:rsidRPr="001915FE">
              <w:rPr>
                <w:rStyle w:val="default"/>
                <w:rFonts w:ascii="David" w:hAnsi="David" w:cs="David"/>
                <w:sz w:val="24"/>
                <w:szCs w:val="24"/>
                <w:rtl/>
              </w:rPr>
              <w:t>גורם במזיד, במעשה או במחדל אסורים, למותו של אביו, אמו, סבו או סבתו;</w:t>
            </w:r>
          </w:p>
          <w:p w:rsidR="00380327" w:rsidRPr="001915FE" w:rsidRDefault="00380327" w:rsidP="00273FE7">
            <w:pPr>
              <w:pStyle w:val="P22"/>
              <w:spacing w:before="120" w:line="360" w:lineRule="auto"/>
              <w:ind w:left="1021" w:right="1134"/>
              <w:rPr>
                <w:rStyle w:val="default"/>
                <w:rFonts w:ascii="David" w:hAnsi="David" w:cs="David"/>
                <w:sz w:val="24"/>
                <w:szCs w:val="24"/>
                <w:rtl/>
              </w:rPr>
            </w:pPr>
            <w:r w:rsidRPr="001915FE">
              <w:rPr>
                <w:rStyle w:val="default"/>
                <w:rFonts w:ascii="David" w:hAnsi="David" w:cs="David"/>
                <w:sz w:val="24"/>
                <w:szCs w:val="24"/>
                <w:rtl/>
              </w:rPr>
              <w:t>(2)</w:t>
            </w:r>
            <w:r w:rsidRPr="001915FE">
              <w:rPr>
                <w:rStyle w:val="default"/>
                <w:rFonts w:ascii="David" w:hAnsi="David" w:cs="David"/>
                <w:sz w:val="24"/>
                <w:szCs w:val="24"/>
                <w:rtl/>
              </w:rPr>
              <w:tab/>
              <w:t>גורם בכוונה תחילה למותו של אדם;</w:t>
            </w:r>
          </w:p>
          <w:p w:rsidR="00380327" w:rsidRPr="001915FE" w:rsidRDefault="00380327" w:rsidP="00273FE7">
            <w:pPr>
              <w:pStyle w:val="P22"/>
              <w:spacing w:before="120" w:line="360" w:lineRule="auto"/>
              <w:ind w:left="1021" w:right="1134"/>
              <w:rPr>
                <w:rStyle w:val="default"/>
                <w:rFonts w:ascii="David" w:hAnsi="David" w:cs="David"/>
                <w:sz w:val="24"/>
                <w:szCs w:val="24"/>
                <w:rtl/>
              </w:rPr>
            </w:pPr>
            <w:r w:rsidRPr="001915FE">
              <w:rPr>
                <w:rStyle w:val="default"/>
                <w:rFonts w:ascii="David" w:hAnsi="David" w:cs="David"/>
                <w:sz w:val="24"/>
                <w:szCs w:val="24"/>
                <w:rtl/>
              </w:rPr>
              <w:t>(3)</w:t>
            </w:r>
            <w:r w:rsidRPr="001915FE">
              <w:rPr>
                <w:rStyle w:val="default"/>
                <w:rFonts w:ascii="David" w:hAnsi="David" w:cs="David"/>
                <w:sz w:val="24"/>
                <w:szCs w:val="24"/>
                <w:rtl/>
              </w:rPr>
              <w:tab/>
              <w:t>גורם במזיד למותו של אדם תוך ביצוע עבירה או תוך הכנות לביצועה או כדי להקל על ביצועה;</w:t>
            </w:r>
          </w:p>
          <w:p w:rsidR="00380327" w:rsidRPr="001915FE" w:rsidRDefault="00380327" w:rsidP="00273FE7">
            <w:pPr>
              <w:pStyle w:val="P22"/>
              <w:spacing w:before="120" w:line="360" w:lineRule="auto"/>
              <w:ind w:left="1021" w:right="1134"/>
              <w:rPr>
                <w:rStyle w:val="default"/>
                <w:rFonts w:ascii="David" w:hAnsi="David" w:cs="David"/>
                <w:sz w:val="24"/>
                <w:szCs w:val="24"/>
                <w:rtl/>
              </w:rPr>
            </w:pPr>
            <w:r w:rsidRPr="001915FE">
              <w:rPr>
                <w:rStyle w:val="default"/>
                <w:rFonts w:ascii="David" w:hAnsi="David" w:cs="David"/>
                <w:sz w:val="24"/>
                <w:szCs w:val="24"/>
                <w:rtl/>
              </w:rPr>
              <w:t>(4)</w:t>
            </w:r>
            <w:r w:rsidRPr="001915FE">
              <w:rPr>
                <w:rStyle w:val="default"/>
                <w:rFonts w:ascii="David" w:hAnsi="David" w:cs="David"/>
                <w:sz w:val="24"/>
                <w:szCs w:val="24"/>
                <w:rtl/>
              </w:rPr>
              <w:tab/>
              <w:t>גורם למותו של אדם כשנעברה עבירה אחרת, כדי להבטיח לעצמו, או למי שהשתתף בביצוע אותה עבירה, בריחה או הימלטות מעונש.</w:t>
            </w:r>
          </w:p>
          <w:p w:rsidR="00380327" w:rsidRPr="001915FE" w:rsidRDefault="00380327" w:rsidP="00273FE7">
            <w:pPr>
              <w:spacing w:before="120" w:line="360" w:lineRule="auto"/>
              <w:rPr>
                <w:rFonts w:ascii="David" w:hAnsi="David" w:cs="David"/>
                <w:sz w:val="24"/>
                <w:szCs w:val="24"/>
                <w:rtl/>
              </w:rPr>
            </w:pPr>
            <w:r w:rsidRPr="001915FE">
              <w:rPr>
                <w:rStyle w:val="default"/>
                <w:rFonts w:ascii="David" w:hAnsi="David" w:cs="David"/>
                <w:sz w:val="24"/>
                <w:szCs w:val="24"/>
                <w:rtl/>
              </w:rPr>
              <w:t>(ב) מי שהורשע ברצח לפי סעיף 2(ו) לחוק לעשיית דין בנאצים ועוזריהם, תש"י-1950, דינו - מיתה.</w:t>
            </w:r>
          </w:p>
        </w:tc>
      </w:tr>
    </w:tbl>
    <w:p w:rsidR="00380327" w:rsidRPr="001915FE" w:rsidRDefault="00380327" w:rsidP="00380327">
      <w:pPr>
        <w:spacing w:before="120" w:after="0" w:line="360" w:lineRule="auto"/>
        <w:jc w:val="both"/>
        <w:rPr>
          <w:rFonts w:ascii="David" w:hAnsi="David" w:cs="David"/>
          <w:sz w:val="24"/>
          <w:szCs w:val="24"/>
          <w:rtl/>
        </w:rPr>
      </w:pPr>
      <w:r w:rsidRPr="001915FE">
        <w:rPr>
          <w:rFonts w:ascii="David" w:hAnsi="David" w:cs="David"/>
          <w:sz w:val="24"/>
          <w:szCs w:val="24"/>
          <w:rtl/>
        </w:rPr>
        <w:t>עבירת הרצח מתגבשת אם הוכח יסוד נפשי של "כוונה תחילה" או אם התקיים אחד המקרים האחרים המנויים בסעיף - המתה של הורה או סב, או שההמתה בוצעה תוך ביצוע עבירה אחרת, כדי להקל על ביצועה או לשם הימלטות מעונש, במקרים אלה לא נדרשת הוכחת כוונה ודי במחשבה פלילית, קרי, מודעות וצפייה של התרחשות התוצאה.</w:t>
      </w:r>
    </w:p>
    <w:p w:rsidR="00380327" w:rsidRPr="001915FE" w:rsidRDefault="00380327" w:rsidP="00380327">
      <w:pPr>
        <w:spacing w:before="120" w:after="0" w:line="360" w:lineRule="auto"/>
        <w:jc w:val="both"/>
        <w:rPr>
          <w:rFonts w:ascii="David" w:hAnsi="David" w:cs="David"/>
          <w:sz w:val="24"/>
          <w:szCs w:val="24"/>
          <w:rtl/>
        </w:rPr>
      </w:pPr>
      <w:r w:rsidRPr="001915FE">
        <w:rPr>
          <w:rFonts w:ascii="David" w:hAnsi="David" w:cs="David"/>
          <w:sz w:val="24"/>
          <w:szCs w:val="24"/>
          <w:rtl/>
        </w:rPr>
        <w:t xml:space="preserve">הצעת החוק הממשלתית מבקשת לקבוע, כפי שפירטנו גם במסמכים הקודמים, </w:t>
      </w:r>
      <w:r>
        <w:rPr>
          <w:rFonts w:ascii="David" w:hAnsi="David" w:cs="David" w:hint="cs"/>
          <w:sz w:val="24"/>
          <w:szCs w:val="24"/>
          <w:rtl/>
        </w:rPr>
        <w:t xml:space="preserve">מדרג חדש. מוצע לקבוע </w:t>
      </w:r>
      <w:r w:rsidRPr="001915FE">
        <w:rPr>
          <w:rFonts w:ascii="David" w:hAnsi="David" w:cs="David"/>
          <w:sz w:val="24"/>
          <w:szCs w:val="24"/>
          <w:rtl/>
        </w:rPr>
        <w:t>את עבירת הרצח הבסיסית כעבירה של כוונה או אדישות לגרימת התוצאה</w:t>
      </w:r>
      <w:r>
        <w:rPr>
          <w:rFonts w:ascii="David" w:hAnsi="David" w:cs="David" w:hint="cs"/>
          <w:sz w:val="24"/>
          <w:szCs w:val="24"/>
          <w:rtl/>
        </w:rPr>
        <w:t>,</w:t>
      </w:r>
      <w:r w:rsidRPr="001915FE">
        <w:rPr>
          <w:rFonts w:ascii="David" w:hAnsi="David" w:cs="David"/>
          <w:sz w:val="24"/>
          <w:szCs w:val="24"/>
          <w:rtl/>
        </w:rPr>
        <w:t xml:space="preserve"> ובצדה </w:t>
      </w:r>
      <w:r>
        <w:rPr>
          <w:rFonts w:ascii="David" w:hAnsi="David" w:cs="David" w:hint="cs"/>
          <w:sz w:val="24"/>
          <w:szCs w:val="24"/>
          <w:rtl/>
        </w:rPr>
        <w:t xml:space="preserve">לקבוע </w:t>
      </w:r>
      <w:r w:rsidRPr="001915FE">
        <w:rPr>
          <w:rFonts w:ascii="David" w:hAnsi="David" w:cs="David"/>
          <w:sz w:val="24"/>
          <w:szCs w:val="24"/>
          <w:rtl/>
        </w:rPr>
        <w:t xml:space="preserve">עונש מאסר עולם כעונש מירבי. </w:t>
      </w:r>
      <w:r>
        <w:rPr>
          <w:rFonts w:ascii="David" w:hAnsi="David" w:cs="David" w:hint="cs"/>
          <w:sz w:val="24"/>
          <w:szCs w:val="24"/>
          <w:rtl/>
        </w:rPr>
        <w:t xml:space="preserve">בנוסף, מוצע </w:t>
      </w:r>
      <w:r w:rsidRPr="001915FE">
        <w:rPr>
          <w:rFonts w:ascii="David" w:hAnsi="David" w:cs="David"/>
          <w:sz w:val="24"/>
          <w:szCs w:val="24"/>
          <w:rtl/>
        </w:rPr>
        <w:t xml:space="preserve">לקבוע עבירה של רצח בנסיבות מחמירות ובה רשימה סגורה של נסיבות שיובילו להתגבשות העבירה, שהעונש לצדה הוא מאסר עולם חובה (למעט במקרה חריג בו בית המשפט התרשם שלמרות הנסיבה המחמירה דרגת האשמה במעשה אינה מצביעה על אשמה חמורה במיוחד, כפי שיפורט בהמשך). השלכות קביעת עבירה כעבירת רצח או כרצח בנסיבות מחמירות משמעותית כאמור הן לעניין התיוג והן לעניין העונש כמאסר עולם </w:t>
      </w:r>
      <w:r w:rsidRPr="001915FE">
        <w:rPr>
          <w:rFonts w:ascii="David" w:hAnsi="David" w:cs="David"/>
          <w:sz w:val="24"/>
          <w:szCs w:val="24"/>
          <w:u w:val="single"/>
          <w:rtl/>
        </w:rPr>
        <w:t>חובה.</w:t>
      </w:r>
    </w:p>
    <w:p w:rsidR="00380327" w:rsidRPr="001915FE" w:rsidRDefault="00380327" w:rsidP="00380327">
      <w:pPr>
        <w:spacing w:before="120" w:after="0" w:line="360" w:lineRule="auto"/>
        <w:jc w:val="both"/>
        <w:rPr>
          <w:rFonts w:ascii="David" w:hAnsi="David" w:cs="David"/>
          <w:sz w:val="24"/>
          <w:szCs w:val="24"/>
          <w:rtl/>
        </w:rPr>
      </w:pPr>
      <w:r>
        <w:rPr>
          <w:rFonts w:ascii="David" w:hAnsi="David" w:cs="David" w:hint="cs"/>
          <w:sz w:val="24"/>
          <w:szCs w:val="24"/>
          <w:rtl/>
        </w:rPr>
        <w:t>להלן עבירת הרצח בנסיבות מחמירות שמוצע לקבוע:</w:t>
      </w:r>
    </w:p>
    <w:tbl>
      <w:tblPr>
        <w:tblStyle w:val="a3"/>
        <w:bidiVisual/>
        <w:tblW w:w="0" w:type="auto"/>
        <w:tblLook w:val="04A0" w:firstRow="1" w:lastRow="0" w:firstColumn="1" w:lastColumn="0" w:noHBand="0" w:noVBand="1"/>
      </w:tblPr>
      <w:tblGrid>
        <w:gridCol w:w="8296"/>
      </w:tblGrid>
      <w:tr w:rsidR="00380327" w:rsidRPr="001915FE" w:rsidTr="00273FE7">
        <w:tc>
          <w:tcPr>
            <w:tcW w:w="8296" w:type="dxa"/>
          </w:tcPr>
          <w:p w:rsidR="00380327" w:rsidRPr="001915FE" w:rsidRDefault="00380327" w:rsidP="00273FE7">
            <w:pPr>
              <w:spacing w:before="120" w:line="360" w:lineRule="auto"/>
              <w:rPr>
                <w:rFonts w:ascii="David" w:hAnsi="David" w:cs="David"/>
                <w:b/>
                <w:bCs/>
                <w:sz w:val="24"/>
                <w:szCs w:val="24"/>
                <w:rtl/>
              </w:rPr>
            </w:pPr>
            <w:r w:rsidRPr="001915FE">
              <w:rPr>
                <w:rFonts w:ascii="David" w:hAnsi="David" w:cs="David"/>
                <w:b/>
                <w:bCs/>
                <w:sz w:val="24"/>
                <w:szCs w:val="24"/>
                <w:rtl/>
              </w:rPr>
              <w:t>רצח בנסיבות מחמירות</w:t>
            </w:r>
          </w:p>
          <w:p w:rsidR="00380327" w:rsidRPr="001915FE" w:rsidRDefault="00380327" w:rsidP="00273FE7">
            <w:pPr>
              <w:spacing w:before="120" w:line="360" w:lineRule="auto"/>
              <w:rPr>
                <w:rFonts w:ascii="David" w:hAnsi="David" w:cs="David"/>
                <w:sz w:val="24"/>
                <w:szCs w:val="24"/>
                <w:rtl/>
              </w:rPr>
            </w:pPr>
            <w:r w:rsidRPr="001915FE">
              <w:rPr>
                <w:rFonts w:ascii="David" w:hAnsi="David" w:cs="David"/>
                <w:sz w:val="24"/>
                <w:szCs w:val="24"/>
                <w:rtl/>
              </w:rPr>
              <w:t>הגורם בכוונה או באדישות למותו של אדם באחת מן הנסיבות המפורטות להלן – דינו מאסר עולם ועונש זה בלבד:</w:t>
            </w:r>
          </w:p>
          <w:p w:rsidR="00380327" w:rsidRPr="001915FE" w:rsidRDefault="00380327" w:rsidP="00273FE7">
            <w:pPr>
              <w:pStyle w:val="a4"/>
              <w:numPr>
                <w:ilvl w:val="0"/>
                <w:numId w:val="2"/>
              </w:numPr>
              <w:spacing w:before="120" w:line="360" w:lineRule="auto"/>
              <w:jc w:val="both"/>
              <w:rPr>
                <w:rFonts w:ascii="David" w:hAnsi="David" w:cs="David"/>
                <w:sz w:val="24"/>
                <w:szCs w:val="24"/>
              </w:rPr>
            </w:pPr>
            <w:r w:rsidRPr="001915FE">
              <w:rPr>
                <w:rFonts w:ascii="David" w:hAnsi="David" w:cs="David"/>
                <w:sz w:val="24"/>
                <w:szCs w:val="24"/>
                <w:rtl/>
              </w:rPr>
              <w:t>מעשה לאחר תכנון או הליך ממשי של שקילה וגיבוש החלטה להמית.</w:t>
            </w:r>
          </w:p>
          <w:p w:rsidR="00380327" w:rsidRPr="001915FE" w:rsidRDefault="00380327" w:rsidP="00273FE7">
            <w:pPr>
              <w:pStyle w:val="a4"/>
              <w:numPr>
                <w:ilvl w:val="0"/>
                <w:numId w:val="2"/>
              </w:numPr>
              <w:spacing w:before="120" w:line="360" w:lineRule="auto"/>
              <w:jc w:val="both"/>
              <w:rPr>
                <w:rFonts w:ascii="David" w:hAnsi="David" w:cs="David"/>
                <w:sz w:val="24"/>
                <w:szCs w:val="24"/>
              </w:rPr>
            </w:pPr>
            <w:r w:rsidRPr="001915FE">
              <w:rPr>
                <w:rFonts w:ascii="David" w:hAnsi="David" w:cs="David"/>
                <w:sz w:val="24"/>
                <w:szCs w:val="24"/>
                <w:rtl/>
              </w:rPr>
              <w:t>המעשה נעשה במטרה לאפשר ביצוע עבירה אחר או להקל על ביצועה, או במטרה להסתיר ביצועה של עבירה אחרת, או לאפשר הימלטות מן הדין לאחר ביצוע העבירה האחרת.</w:t>
            </w:r>
          </w:p>
          <w:p w:rsidR="00380327" w:rsidRPr="001915FE" w:rsidRDefault="00380327" w:rsidP="00273FE7">
            <w:pPr>
              <w:pStyle w:val="a4"/>
              <w:numPr>
                <w:ilvl w:val="0"/>
                <w:numId w:val="2"/>
              </w:numPr>
              <w:spacing w:before="120" w:line="360" w:lineRule="auto"/>
              <w:jc w:val="both"/>
              <w:rPr>
                <w:rFonts w:ascii="David" w:hAnsi="David" w:cs="David"/>
                <w:sz w:val="24"/>
                <w:szCs w:val="24"/>
              </w:rPr>
            </w:pPr>
            <w:r w:rsidRPr="001915FE">
              <w:rPr>
                <w:rFonts w:ascii="David" w:hAnsi="David" w:cs="David"/>
                <w:sz w:val="24"/>
                <w:szCs w:val="24"/>
                <w:rtl/>
              </w:rPr>
              <w:t>הקורבן היה עד במשפט פלילי או היה צפוי למסור עדות במשפט פלילי והמעשה נעשה במטרה למנוע או להכשיל חקירה או הליך משפטי;</w:t>
            </w:r>
          </w:p>
          <w:p w:rsidR="00380327" w:rsidRPr="001915FE" w:rsidRDefault="00380327" w:rsidP="00273FE7">
            <w:pPr>
              <w:pStyle w:val="a4"/>
              <w:numPr>
                <w:ilvl w:val="0"/>
                <w:numId w:val="2"/>
              </w:numPr>
              <w:spacing w:before="120" w:line="360" w:lineRule="auto"/>
              <w:jc w:val="both"/>
              <w:rPr>
                <w:rFonts w:ascii="David" w:hAnsi="David" w:cs="David"/>
                <w:sz w:val="24"/>
                <w:szCs w:val="24"/>
              </w:rPr>
            </w:pPr>
            <w:r w:rsidRPr="001915FE">
              <w:rPr>
                <w:rFonts w:ascii="David" w:hAnsi="David" w:cs="David"/>
                <w:sz w:val="24"/>
                <w:szCs w:val="24"/>
                <w:rtl/>
              </w:rPr>
              <w:t>המעשה נעשה במטרה לעורר פחד או בהלה בציבור או במטרה להניע ממשלה או רשות שלטונית אחרת, לרבות ממשלה או רשות שלטונית של מדינה זרה או ארגון ציבורי בין-לאומי, לעשות מעשה או להימנע מעשיית מעשה;</w:t>
            </w:r>
          </w:p>
          <w:p w:rsidR="00380327" w:rsidRPr="001915FE" w:rsidRDefault="00380327" w:rsidP="00273FE7">
            <w:pPr>
              <w:pStyle w:val="a4"/>
              <w:numPr>
                <w:ilvl w:val="0"/>
                <w:numId w:val="2"/>
              </w:numPr>
              <w:spacing w:before="120" w:line="360" w:lineRule="auto"/>
              <w:jc w:val="both"/>
              <w:rPr>
                <w:rFonts w:ascii="David" w:hAnsi="David" w:cs="David"/>
                <w:sz w:val="24"/>
                <w:szCs w:val="24"/>
              </w:rPr>
            </w:pPr>
            <w:r w:rsidRPr="001915FE">
              <w:rPr>
                <w:rFonts w:ascii="David" w:hAnsi="David" w:cs="David"/>
                <w:sz w:val="24"/>
                <w:szCs w:val="24"/>
                <w:rtl/>
              </w:rPr>
              <w:t>המעשה נעשה מתוך מניע של גזענות או עוינות כלפי ציבור, כאמור בסעיף 144ו;</w:t>
            </w:r>
          </w:p>
          <w:p w:rsidR="00380327" w:rsidRPr="001915FE" w:rsidRDefault="00380327" w:rsidP="00273FE7">
            <w:pPr>
              <w:pStyle w:val="a4"/>
              <w:numPr>
                <w:ilvl w:val="0"/>
                <w:numId w:val="2"/>
              </w:numPr>
              <w:spacing w:before="120" w:line="360" w:lineRule="auto"/>
              <w:jc w:val="both"/>
              <w:rPr>
                <w:rFonts w:ascii="David" w:hAnsi="David" w:cs="David"/>
                <w:sz w:val="24"/>
                <w:szCs w:val="24"/>
              </w:rPr>
            </w:pPr>
            <w:r w:rsidRPr="001915FE">
              <w:rPr>
                <w:rFonts w:ascii="David" w:hAnsi="David" w:cs="David"/>
                <w:sz w:val="24"/>
                <w:szCs w:val="24"/>
                <w:rtl/>
              </w:rPr>
              <w:t>המעשה נעשה כפעולה עונשית במטרה להטיל מרות או מורא ולכפות אורחות התנהגות על ציבור; (כדוגמת רצח על רקע "כבוד המשפחה").</w:t>
            </w:r>
          </w:p>
          <w:p w:rsidR="00380327" w:rsidRPr="001915FE" w:rsidRDefault="00380327" w:rsidP="00273FE7">
            <w:pPr>
              <w:pStyle w:val="a4"/>
              <w:numPr>
                <w:ilvl w:val="0"/>
                <w:numId w:val="2"/>
              </w:numPr>
              <w:spacing w:before="120" w:line="360" w:lineRule="auto"/>
              <w:jc w:val="both"/>
              <w:rPr>
                <w:rFonts w:ascii="David" w:hAnsi="David" w:cs="David"/>
                <w:sz w:val="24"/>
                <w:szCs w:val="24"/>
              </w:rPr>
            </w:pPr>
            <w:r w:rsidRPr="001915FE">
              <w:rPr>
                <w:rFonts w:ascii="David" w:hAnsi="David" w:cs="David"/>
                <w:sz w:val="24"/>
                <w:szCs w:val="24"/>
                <w:rtl/>
              </w:rPr>
              <w:t>המעשה נעשה באכזריות מיוחדת או תוך התעללות גופנית או נפשית בקורבן;</w:t>
            </w:r>
          </w:p>
          <w:p w:rsidR="00380327" w:rsidRPr="001915FE" w:rsidRDefault="00380327" w:rsidP="00273FE7">
            <w:pPr>
              <w:pStyle w:val="a4"/>
              <w:numPr>
                <w:ilvl w:val="0"/>
                <w:numId w:val="2"/>
              </w:numPr>
              <w:spacing w:before="120" w:line="360" w:lineRule="auto"/>
              <w:jc w:val="both"/>
              <w:rPr>
                <w:rFonts w:ascii="David" w:hAnsi="David" w:cs="David"/>
                <w:sz w:val="24"/>
                <w:szCs w:val="24"/>
              </w:rPr>
            </w:pPr>
            <w:r w:rsidRPr="001915FE">
              <w:rPr>
                <w:rFonts w:ascii="David" w:hAnsi="David" w:cs="David"/>
                <w:sz w:val="24"/>
                <w:szCs w:val="24"/>
                <w:rtl/>
              </w:rPr>
              <w:t>הקורבן הוא קטין שעובר העבירה אחראי עליו כהגדרת "אחראי על קטין או חסר ישע" בסעיף 368א;</w:t>
            </w:r>
          </w:p>
          <w:p w:rsidR="00380327" w:rsidRPr="008263FC" w:rsidRDefault="00380327" w:rsidP="00273FE7">
            <w:pPr>
              <w:pStyle w:val="a4"/>
              <w:numPr>
                <w:ilvl w:val="0"/>
                <w:numId w:val="2"/>
              </w:numPr>
              <w:spacing w:before="120" w:line="360" w:lineRule="auto"/>
              <w:jc w:val="both"/>
              <w:rPr>
                <w:rFonts w:ascii="David" w:hAnsi="David" w:cs="David"/>
                <w:sz w:val="24"/>
                <w:szCs w:val="24"/>
              </w:rPr>
            </w:pPr>
            <w:r w:rsidRPr="008263FC">
              <w:rPr>
                <w:rFonts w:ascii="David" w:hAnsi="David" w:cs="David"/>
                <w:sz w:val="24"/>
                <w:szCs w:val="24"/>
                <w:rtl/>
              </w:rPr>
              <w:t>הקורבן הוא חסר ישע כהגדרתו בסעיף 368א;</w:t>
            </w:r>
          </w:p>
          <w:p w:rsidR="00380327" w:rsidRPr="008263FC" w:rsidRDefault="00380327" w:rsidP="00273FE7">
            <w:pPr>
              <w:pStyle w:val="a4"/>
              <w:numPr>
                <w:ilvl w:val="0"/>
                <w:numId w:val="2"/>
              </w:numPr>
              <w:spacing w:before="120" w:line="360" w:lineRule="auto"/>
              <w:jc w:val="both"/>
              <w:rPr>
                <w:rFonts w:ascii="David" w:hAnsi="David" w:cs="David"/>
                <w:sz w:val="24"/>
                <w:szCs w:val="24"/>
              </w:rPr>
            </w:pPr>
            <w:r w:rsidRPr="008263FC">
              <w:rPr>
                <w:rFonts w:ascii="David" w:hAnsi="David" w:cs="David"/>
                <w:sz w:val="24"/>
                <w:szCs w:val="24"/>
                <w:rtl/>
              </w:rPr>
              <w:t>המעשה בוצע תוך יצירת סכנה ממשית לפגיעה חמורה בגופו של אדם אחר נוסף על הקורבן;</w:t>
            </w:r>
          </w:p>
          <w:p w:rsidR="00380327" w:rsidRPr="001915FE" w:rsidRDefault="00380327" w:rsidP="00273FE7">
            <w:pPr>
              <w:pStyle w:val="a4"/>
              <w:numPr>
                <w:ilvl w:val="0"/>
                <w:numId w:val="2"/>
              </w:numPr>
              <w:spacing w:before="120" w:line="360" w:lineRule="auto"/>
              <w:rPr>
                <w:rFonts w:ascii="David" w:hAnsi="David" w:cs="David"/>
                <w:sz w:val="24"/>
                <w:szCs w:val="24"/>
              </w:rPr>
            </w:pPr>
            <w:r w:rsidRPr="001915FE">
              <w:rPr>
                <w:rFonts w:ascii="David" w:hAnsi="David" w:cs="David"/>
                <w:sz w:val="24"/>
                <w:szCs w:val="24"/>
                <w:rtl/>
              </w:rPr>
              <w:t>המעשה בוצע במסגרת פעילותו של ארגון פשיעה או ארגון טרור ולשם קידום מטרות אותו ארגון;</w:t>
            </w:r>
            <w:r w:rsidRPr="001915FE">
              <w:rPr>
                <w:rFonts w:ascii="David" w:hAnsi="David" w:cs="David"/>
                <w:sz w:val="24"/>
                <w:szCs w:val="24"/>
                <w:rtl/>
              </w:rPr>
              <w:br/>
              <w:t>בפסקה זו –</w:t>
            </w:r>
          </w:p>
          <w:p w:rsidR="00380327" w:rsidRPr="001915FE" w:rsidRDefault="00380327" w:rsidP="00273FE7">
            <w:pPr>
              <w:pStyle w:val="a4"/>
              <w:spacing w:before="120" w:line="360" w:lineRule="auto"/>
              <w:jc w:val="both"/>
              <w:rPr>
                <w:rFonts w:ascii="David" w:hAnsi="David" w:cs="David"/>
                <w:sz w:val="24"/>
                <w:szCs w:val="24"/>
                <w:rtl/>
              </w:rPr>
            </w:pPr>
            <w:r w:rsidRPr="001915FE">
              <w:rPr>
                <w:rFonts w:ascii="David" w:hAnsi="David" w:cs="David"/>
                <w:sz w:val="24"/>
                <w:szCs w:val="24"/>
                <w:rtl/>
              </w:rPr>
              <w:t>"ארגון פשיעה" – כהגדרתו בחוק מאבק בארגוני פשיעה, התשס"ג–2003‏</w:t>
            </w:r>
            <w:r w:rsidRPr="001915FE">
              <w:rPr>
                <w:rFonts w:ascii="David" w:hAnsi="David" w:cs="David"/>
                <w:sz w:val="24"/>
                <w:rtl/>
              </w:rPr>
              <w:footnoteReference w:id="1"/>
            </w:r>
            <w:r w:rsidRPr="001915FE">
              <w:rPr>
                <w:rFonts w:ascii="David" w:hAnsi="David" w:cs="David"/>
                <w:sz w:val="24"/>
                <w:szCs w:val="24"/>
                <w:rtl/>
              </w:rPr>
              <w:t>;</w:t>
            </w:r>
          </w:p>
          <w:p w:rsidR="00380327" w:rsidRPr="001915FE" w:rsidRDefault="00380327" w:rsidP="00273FE7">
            <w:pPr>
              <w:pStyle w:val="a4"/>
              <w:spacing w:before="120" w:line="360" w:lineRule="auto"/>
              <w:jc w:val="both"/>
              <w:rPr>
                <w:rFonts w:ascii="David" w:hAnsi="David" w:cs="David"/>
                <w:sz w:val="24"/>
                <w:szCs w:val="24"/>
              </w:rPr>
            </w:pPr>
            <w:r w:rsidRPr="001915FE">
              <w:rPr>
                <w:rFonts w:ascii="David" w:hAnsi="David" w:cs="David"/>
                <w:sz w:val="24"/>
                <w:szCs w:val="24"/>
                <w:rtl/>
              </w:rPr>
              <w:t>"ארגון טרור" – ארגון טרור כהגדרתו בחוק איסור מימון טרור, התשס"ה–2005‏, וכן ארגון טרור מוכרז כהגדרתו בחוק האמור.</w:t>
            </w:r>
          </w:p>
          <w:p w:rsidR="00380327" w:rsidRPr="001915FE" w:rsidRDefault="00380327" w:rsidP="00273FE7">
            <w:pPr>
              <w:spacing w:before="120" w:line="360" w:lineRule="auto"/>
              <w:jc w:val="both"/>
              <w:rPr>
                <w:rFonts w:ascii="David" w:hAnsi="David" w:cs="David"/>
                <w:sz w:val="24"/>
                <w:szCs w:val="24"/>
                <w:rtl/>
              </w:rPr>
            </w:pPr>
            <w:r w:rsidRPr="001915FE">
              <w:rPr>
                <w:rFonts w:ascii="David" w:hAnsi="David" w:cs="David"/>
                <w:sz w:val="24"/>
                <w:szCs w:val="24"/>
                <w:rtl/>
              </w:rPr>
              <w:t xml:space="preserve">ואולם, אם התקיימה נסיבה מחמירה אך ביהמ"ש מצא, מנימוקים מיוחדים שיירשמו, שהתקיימו נסיבות מיוחדות שבשלהן </w:t>
            </w:r>
            <w:r w:rsidRPr="001915FE">
              <w:rPr>
                <w:rFonts w:ascii="David" w:hAnsi="David" w:cs="David"/>
                <w:sz w:val="24"/>
                <w:szCs w:val="24"/>
                <w:u w:val="single"/>
                <w:rtl/>
              </w:rPr>
              <w:t>המעשה</w:t>
            </w:r>
            <w:r w:rsidRPr="001915FE">
              <w:rPr>
                <w:rFonts w:ascii="David" w:hAnsi="David" w:cs="David"/>
                <w:sz w:val="24"/>
                <w:szCs w:val="24"/>
                <w:rtl/>
              </w:rPr>
              <w:t xml:space="preserve"> לא מבטא דרגת אשמה חמורה במיוחד, הוא רשאי להרשיע בעבירה של רצח (ההתייחסות היא למידת האשם במעשה ולא לנסיבותיו האישיות של הממית).</w:t>
            </w:r>
          </w:p>
        </w:tc>
      </w:tr>
    </w:tbl>
    <w:p w:rsidR="00380327" w:rsidRPr="001915FE" w:rsidRDefault="00380327" w:rsidP="00380327">
      <w:pPr>
        <w:spacing w:line="360" w:lineRule="auto"/>
        <w:rPr>
          <w:rFonts w:ascii="David" w:hAnsi="David" w:cs="David"/>
          <w:sz w:val="24"/>
          <w:szCs w:val="24"/>
          <w:rtl/>
        </w:rPr>
      </w:pPr>
    </w:p>
    <w:p w:rsidR="00380327" w:rsidRDefault="00380327" w:rsidP="00380327">
      <w:pPr>
        <w:spacing w:line="360" w:lineRule="auto"/>
        <w:jc w:val="both"/>
        <w:rPr>
          <w:rFonts w:ascii="David" w:hAnsi="David" w:cs="David"/>
          <w:sz w:val="24"/>
          <w:szCs w:val="24"/>
          <w:rtl/>
        </w:rPr>
      </w:pPr>
      <w:r w:rsidRPr="001915FE">
        <w:rPr>
          <w:rFonts w:ascii="David" w:hAnsi="David" w:cs="David"/>
          <w:sz w:val="24"/>
          <w:szCs w:val="24"/>
          <w:rtl/>
        </w:rPr>
        <w:t>לפי דברי ההסבר של הצעת החוק, הנסיבות שמוצע לכלול מבטאות את מקרי הרצח החמורים ביותר המבטאים חומרה מוסרית מיוחדת.</w:t>
      </w:r>
    </w:p>
    <w:p w:rsidR="00380327" w:rsidRDefault="00380327" w:rsidP="00380327">
      <w:pPr>
        <w:spacing w:line="360" w:lineRule="auto"/>
        <w:jc w:val="both"/>
        <w:rPr>
          <w:rFonts w:ascii="David" w:hAnsi="David" w:cs="David"/>
          <w:b/>
          <w:bCs/>
          <w:sz w:val="24"/>
          <w:szCs w:val="24"/>
          <w:rtl/>
        </w:rPr>
      </w:pPr>
      <w:r w:rsidRPr="002C0295">
        <w:rPr>
          <w:rFonts w:ascii="David" w:hAnsi="David" w:cs="David"/>
          <w:b/>
          <w:bCs/>
          <w:sz w:val="24"/>
          <w:szCs w:val="24"/>
          <w:rtl/>
        </w:rPr>
        <w:t>להלן נסקור את הנסיבות המיוחדות המוצעות לשם בחינת ההצדקה לקביעת החומרה המיוחדת:</w:t>
      </w:r>
    </w:p>
    <w:p w:rsidR="00380327" w:rsidRPr="00A56DC5" w:rsidRDefault="00380327" w:rsidP="00380327">
      <w:pPr>
        <w:spacing w:line="360" w:lineRule="auto"/>
        <w:jc w:val="both"/>
        <w:rPr>
          <w:rFonts w:ascii="David" w:hAnsi="David" w:cs="David"/>
          <w:sz w:val="24"/>
          <w:szCs w:val="24"/>
          <w:rtl/>
        </w:rPr>
      </w:pPr>
      <w:r w:rsidRPr="00A56DC5">
        <w:rPr>
          <w:rFonts w:ascii="David" w:hAnsi="David" w:cs="David" w:hint="cs"/>
          <w:sz w:val="24"/>
          <w:szCs w:val="24"/>
          <w:rtl/>
        </w:rPr>
        <w:t>בטרם הדיון על כל נסיבה, נציין מספר נקודות:</w:t>
      </w:r>
    </w:p>
    <w:p w:rsidR="00380327" w:rsidRPr="00A56DC5" w:rsidRDefault="00380327" w:rsidP="00380327">
      <w:pPr>
        <w:spacing w:line="360" w:lineRule="auto"/>
        <w:jc w:val="both"/>
        <w:rPr>
          <w:rFonts w:ascii="David" w:hAnsi="David" w:cs="David"/>
          <w:sz w:val="24"/>
          <w:szCs w:val="24"/>
          <w:rtl/>
        </w:rPr>
      </w:pPr>
      <w:r w:rsidRPr="00A56DC5">
        <w:rPr>
          <w:rFonts w:ascii="David" w:hAnsi="David" w:cs="David" w:hint="cs"/>
          <w:sz w:val="24"/>
          <w:szCs w:val="24"/>
          <w:rtl/>
        </w:rPr>
        <w:t xml:space="preserve">1. אנו יוצאים מתוך נקודת הנחה שנדרשת מודעות של העושה לנסיבה המחמירה. </w:t>
      </w:r>
    </w:p>
    <w:p w:rsidR="00380327" w:rsidRDefault="00380327" w:rsidP="00380327">
      <w:pPr>
        <w:spacing w:line="360" w:lineRule="auto"/>
        <w:jc w:val="both"/>
        <w:rPr>
          <w:rFonts w:ascii="David" w:hAnsi="David" w:cs="David"/>
          <w:sz w:val="24"/>
          <w:szCs w:val="24"/>
          <w:rtl/>
        </w:rPr>
      </w:pPr>
      <w:r w:rsidRPr="00A56DC5">
        <w:rPr>
          <w:rFonts w:ascii="David" w:hAnsi="David" w:cs="David" w:hint="cs"/>
          <w:sz w:val="24"/>
          <w:szCs w:val="24"/>
          <w:rtl/>
        </w:rPr>
        <w:t>2. לפי ההצעה, הנסיבות יחולו במצב של כוונה או אדישות לעניין ההמתה. זאת, בניגוד לעמדת הסניגוריה הציבורית שאין להחיל את הנסיבות המחמירות במקרה של אדישות.</w:t>
      </w:r>
      <w:r w:rsidRPr="00165A24">
        <w:rPr>
          <w:rFonts w:ascii="David" w:hAnsi="David" w:cs="David" w:hint="cs"/>
          <w:sz w:val="24"/>
          <w:szCs w:val="24"/>
          <w:rtl/>
        </w:rPr>
        <w:t xml:space="preserve"> </w:t>
      </w:r>
    </w:p>
    <w:p w:rsidR="00380327" w:rsidRPr="00165A24" w:rsidRDefault="00380327" w:rsidP="00380327">
      <w:pPr>
        <w:spacing w:line="360" w:lineRule="auto"/>
        <w:jc w:val="both"/>
        <w:rPr>
          <w:rFonts w:ascii="David" w:hAnsi="David" w:cs="David"/>
          <w:sz w:val="24"/>
          <w:szCs w:val="24"/>
          <w:rtl/>
        </w:rPr>
      </w:pPr>
      <w:r>
        <w:rPr>
          <w:rFonts w:ascii="David" w:hAnsi="David" w:cs="David" w:hint="cs"/>
          <w:sz w:val="24"/>
          <w:szCs w:val="24"/>
          <w:rtl/>
        </w:rPr>
        <w:t xml:space="preserve">3. חלק מהנסיבות המוצעות הן למעשה מקרים של שקילה וגיבוש החלטה להמית כמוצע בנסיבה הראשונה. מוצע לדון בשאלה האם יש הצדקה לפרט את הנסיבות המחמירות שהן למעשה מקרה פרטני של הכלל הרחב יותר המוצע בנסיבה הראשונה. ומאידך, ככל שאין כוונה באותן נסיבות, האם יש מקום להחילן במקרה של אדישות. </w:t>
      </w:r>
    </w:p>
    <w:p w:rsidR="00380327" w:rsidRPr="001915FE" w:rsidRDefault="00380327" w:rsidP="00380327">
      <w:pPr>
        <w:pStyle w:val="a4"/>
        <w:numPr>
          <w:ilvl w:val="0"/>
          <w:numId w:val="3"/>
        </w:numPr>
        <w:spacing w:after="0" w:line="360" w:lineRule="auto"/>
        <w:rPr>
          <w:rFonts w:ascii="David" w:hAnsi="David" w:cs="David"/>
          <w:b/>
          <w:bCs/>
          <w:sz w:val="24"/>
          <w:szCs w:val="24"/>
        </w:rPr>
      </w:pPr>
      <w:r w:rsidRPr="001915FE">
        <w:rPr>
          <w:rFonts w:ascii="David" w:hAnsi="David" w:cs="David"/>
          <w:b/>
          <w:bCs/>
          <w:sz w:val="24"/>
          <w:szCs w:val="24"/>
          <w:rtl/>
        </w:rPr>
        <w:t>המעשה נעשה לאחר תכנון או לאחר הליך ממשי של שקילה וגיבוש החלטה להמית</w:t>
      </w:r>
    </w:p>
    <w:p w:rsidR="00380327" w:rsidRDefault="00380327" w:rsidP="00380327">
      <w:pPr>
        <w:pStyle w:val="a4"/>
        <w:spacing w:line="360" w:lineRule="auto"/>
        <w:ind w:left="360"/>
        <w:jc w:val="both"/>
        <w:rPr>
          <w:rFonts w:ascii="David" w:hAnsi="David" w:cs="David"/>
          <w:sz w:val="24"/>
          <w:szCs w:val="24"/>
          <w:rtl/>
        </w:rPr>
      </w:pPr>
      <w:r>
        <w:rPr>
          <w:rFonts w:ascii="David" w:hAnsi="David" w:cs="David" w:hint="cs"/>
          <w:sz w:val="24"/>
          <w:szCs w:val="24"/>
          <w:rtl/>
        </w:rPr>
        <w:t>ההבחנה היא בין מקרים כאמור ל</w:t>
      </w:r>
      <w:r w:rsidRPr="001915FE">
        <w:rPr>
          <w:rFonts w:ascii="David" w:hAnsi="David" w:cs="David"/>
          <w:sz w:val="24"/>
          <w:szCs w:val="24"/>
          <w:rtl/>
        </w:rPr>
        <w:t xml:space="preserve">מקרים בהם הכוונה להמית התגבשה באופן ספונטני ובלהט הרגע. לפיכך, מקרים ספונטניים ומקרים של </w:t>
      </w:r>
      <w:r w:rsidRPr="00630103">
        <w:rPr>
          <w:rFonts w:ascii="David" w:hAnsi="David" w:cs="David"/>
          <w:sz w:val="24"/>
          <w:szCs w:val="24"/>
          <w:rtl/>
        </w:rPr>
        <w:t>קנטור סובייקטיבי</w:t>
      </w:r>
      <w:r>
        <w:rPr>
          <w:rFonts w:ascii="David" w:hAnsi="David" w:cs="David" w:hint="cs"/>
          <w:sz w:val="24"/>
          <w:szCs w:val="24"/>
          <w:rtl/>
        </w:rPr>
        <w:t xml:space="preserve"> </w:t>
      </w:r>
      <w:r w:rsidRPr="001915FE">
        <w:rPr>
          <w:rFonts w:ascii="David" w:hAnsi="David" w:cs="David"/>
          <w:sz w:val="24"/>
          <w:szCs w:val="24"/>
          <w:rtl/>
        </w:rPr>
        <w:t>(שלא יכנסו לנסיבה המקלה של קנטור המוצעת</w:t>
      </w:r>
      <w:r>
        <w:rPr>
          <w:rFonts w:ascii="David" w:hAnsi="David" w:cs="David" w:hint="cs"/>
          <w:sz w:val="24"/>
          <w:szCs w:val="24"/>
          <w:rtl/>
        </w:rPr>
        <w:t>, עליה נפרט לקראת הדיונים בנושא</w:t>
      </w:r>
      <w:r w:rsidRPr="001915FE">
        <w:rPr>
          <w:rFonts w:ascii="David" w:hAnsi="David" w:cs="David"/>
          <w:sz w:val="24"/>
          <w:szCs w:val="24"/>
          <w:rtl/>
        </w:rPr>
        <w:t xml:space="preserve">) יובילו לגיבוש עבירת רצח "רגילה" ולא לרצח בנסיבות מחמירות, על כל המשתמע מכך. כפי שצוין בדוח </w:t>
      </w:r>
      <w:r>
        <w:rPr>
          <w:rFonts w:ascii="David" w:hAnsi="David" w:cs="David" w:hint="cs"/>
          <w:sz w:val="24"/>
          <w:szCs w:val="24"/>
          <w:rtl/>
        </w:rPr>
        <w:t xml:space="preserve">הצוות לבחינת יסודות עבירות ההמתה בראשותו של פרופ' </w:t>
      </w:r>
      <w:r w:rsidRPr="001915FE">
        <w:rPr>
          <w:rFonts w:ascii="David" w:hAnsi="David" w:cs="David"/>
          <w:sz w:val="24"/>
          <w:szCs w:val="24"/>
          <w:rtl/>
        </w:rPr>
        <w:t>קרמניצר</w:t>
      </w:r>
      <w:r>
        <w:rPr>
          <w:rFonts w:ascii="David" w:hAnsi="David" w:cs="David" w:hint="cs"/>
          <w:sz w:val="24"/>
          <w:szCs w:val="24"/>
          <w:rtl/>
        </w:rPr>
        <w:t xml:space="preserve"> (להלן </w:t>
      </w:r>
      <w:r>
        <w:rPr>
          <w:rFonts w:ascii="David" w:hAnsi="David" w:cs="David"/>
          <w:sz w:val="24"/>
          <w:szCs w:val="24"/>
          <w:rtl/>
        </w:rPr>
        <w:t>–</w:t>
      </w:r>
      <w:r>
        <w:rPr>
          <w:rFonts w:ascii="David" w:hAnsi="David" w:cs="David" w:hint="cs"/>
          <w:sz w:val="24"/>
          <w:szCs w:val="24"/>
          <w:rtl/>
        </w:rPr>
        <w:t xml:space="preserve"> "הצוות לבחינת יסודות עבירות ההמתה" או "ועדת קרמניצר")</w:t>
      </w:r>
      <w:r w:rsidRPr="001915FE">
        <w:rPr>
          <w:rFonts w:ascii="David" w:hAnsi="David" w:cs="David"/>
          <w:sz w:val="24"/>
          <w:szCs w:val="24"/>
          <w:rtl/>
        </w:rPr>
        <w:t>, לא מדובר רק במקרים של המתה שתוכננה זמן מה מראש, אלא במקרים בהם הממית גיבש החלטה שקולה לקטול את הקורבן, להבדיל ממקרים ספונטניים בהם הממית לא שקל את השלכות מעשיו.</w:t>
      </w:r>
    </w:p>
    <w:p w:rsidR="00380327" w:rsidRPr="00383C27" w:rsidRDefault="00380327" w:rsidP="00380327">
      <w:pPr>
        <w:pStyle w:val="a4"/>
        <w:spacing w:line="360" w:lineRule="auto"/>
        <w:ind w:left="360"/>
        <w:jc w:val="both"/>
        <w:rPr>
          <w:rFonts w:ascii="David" w:hAnsi="David" w:cs="David"/>
          <w:sz w:val="24"/>
          <w:szCs w:val="24"/>
        </w:rPr>
      </w:pPr>
    </w:p>
    <w:p w:rsidR="00380327" w:rsidRDefault="00380327" w:rsidP="00380327">
      <w:pPr>
        <w:pStyle w:val="a4"/>
        <w:spacing w:line="360" w:lineRule="auto"/>
        <w:ind w:left="360"/>
        <w:jc w:val="both"/>
        <w:rPr>
          <w:rFonts w:ascii="David" w:hAnsi="David" w:cs="David"/>
          <w:sz w:val="24"/>
          <w:szCs w:val="24"/>
          <w:rtl/>
        </w:rPr>
      </w:pPr>
      <w:r w:rsidRPr="001915FE">
        <w:rPr>
          <w:rFonts w:ascii="David" w:hAnsi="David" w:cs="David"/>
          <w:sz w:val="24"/>
          <w:szCs w:val="24"/>
          <w:rtl/>
        </w:rPr>
        <w:t>למעשה, הנוסח המוצע דומה למונח "הכוונה תחילה" הנדרש בעבירת הרצח כיום</w:t>
      </w:r>
      <w:r>
        <w:rPr>
          <w:rFonts w:ascii="David" w:hAnsi="David" w:cs="David" w:hint="cs"/>
          <w:sz w:val="24"/>
          <w:szCs w:val="24"/>
          <w:rtl/>
        </w:rPr>
        <w:t xml:space="preserve"> אך שלא על </w:t>
      </w:r>
      <w:r w:rsidRPr="001915FE">
        <w:rPr>
          <w:rFonts w:ascii="David" w:hAnsi="David" w:cs="David"/>
          <w:sz w:val="24"/>
          <w:szCs w:val="24"/>
          <w:rtl/>
        </w:rPr>
        <w:t>על דרך הפרשנות המצמצמת בה נקטה הפסיקה (פרשנות שגובשה נוכח המצב המשפטי הקיים בו כוונה שאינה כוונה תחילה מחייבת הרשעה בהריגה ולא ברצח)</w:t>
      </w:r>
      <w:r>
        <w:rPr>
          <w:rFonts w:ascii="David" w:hAnsi="David" w:cs="David" w:hint="cs"/>
          <w:sz w:val="24"/>
          <w:szCs w:val="24"/>
          <w:rtl/>
        </w:rPr>
        <w:t xml:space="preserve"> מדובר בהליך ממשי של שיקלה מראש</w:t>
      </w:r>
      <w:r w:rsidRPr="001915FE">
        <w:rPr>
          <w:rFonts w:ascii="David" w:hAnsi="David" w:cs="David"/>
          <w:sz w:val="24"/>
          <w:szCs w:val="24"/>
          <w:rtl/>
        </w:rPr>
        <w:t>.</w:t>
      </w:r>
    </w:p>
    <w:p w:rsidR="00380327" w:rsidRPr="001915FE" w:rsidRDefault="00380327" w:rsidP="00380327">
      <w:pPr>
        <w:pStyle w:val="a4"/>
        <w:spacing w:line="360" w:lineRule="auto"/>
        <w:ind w:left="360"/>
        <w:jc w:val="both"/>
        <w:rPr>
          <w:rFonts w:ascii="David" w:hAnsi="David" w:cs="David"/>
          <w:sz w:val="24"/>
          <w:szCs w:val="24"/>
        </w:rPr>
      </w:pPr>
      <w:r w:rsidRPr="00383C27">
        <w:rPr>
          <w:rFonts w:ascii="David" w:hAnsi="David" w:cs="David" w:hint="cs"/>
          <w:sz w:val="24"/>
          <w:szCs w:val="24"/>
          <w:rtl/>
        </w:rPr>
        <w:t>יש להסב את תשומת הלב, כי מקרים מסוימים שנכללים כיום בעבירת הרצח, בשל הפרשנות שניתנה ליסוד "הכוונה תחילה", ולצדם עונש מאסר עולה כעונש חובה, בעקבות דרישה לשקילה ממשית וגיבוש ההחלטה "יורדו" לעבירת הרצח הבסיסית המוצעת שהעונש לצדה הוא מאסר עולם כעונש מירבי ולא עונש מאסר עולם חובה.</w:t>
      </w:r>
      <w:r w:rsidRPr="001915FE">
        <w:rPr>
          <w:rFonts w:ascii="David" w:hAnsi="David" w:cs="David"/>
          <w:sz w:val="24"/>
          <w:szCs w:val="24"/>
        </w:rPr>
        <w:t xml:space="preserve"> </w:t>
      </w:r>
    </w:p>
    <w:p w:rsidR="00380327" w:rsidRDefault="00380327" w:rsidP="00380327">
      <w:pPr>
        <w:pStyle w:val="a4"/>
        <w:spacing w:line="360" w:lineRule="auto"/>
        <w:ind w:left="360"/>
        <w:jc w:val="both"/>
        <w:rPr>
          <w:rFonts w:ascii="David" w:hAnsi="David" w:cs="David"/>
          <w:sz w:val="24"/>
          <w:szCs w:val="24"/>
          <w:rtl/>
        </w:rPr>
      </w:pPr>
      <w:r>
        <w:rPr>
          <w:rFonts w:ascii="David" w:hAnsi="David" w:cs="David" w:hint="cs"/>
          <w:sz w:val="24"/>
          <w:szCs w:val="24"/>
          <w:rtl/>
        </w:rPr>
        <w:t xml:space="preserve">בדברי ההסבר נטען כי </w:t>
      </w:r>
      <w:r w:rsidRPr="001915FE">
        <w:rPr>
          <w:rFonts w:ascii="David" w:hAnsi="David" w:cs="David"/>
          <w:sz w:val="24"/>
          <w:szCs w:val="24"/>
          <w:rtl/>
        </w:rPr>
        <w:t xml:space="preserve">החלטה </w:t>
      </w:r>
      <w:r>
        <w:rPr>
          <w:rFonts w:ascii="David" w:hAnsi="David" w:cs="David" w:hint="cs"/>
          <w:sz w:val="24"/>
          <w:szCs w:val="24"/>
          <w:rtl/>
        </w:rPr>
        <w:t xml:space="preserve">לקטול </w:t>
      </w:r>
      <w:r w:rsidRPr="001915FE">
        <w:rPr>
          <w:rFonts w:ascii="David" w:hAnsi="David" w:cs="David"/>
          <w:sz w:val="24"/>
          <w:szCs w:val="24"/>
          <w:rtl/>
        </w:rPr>
        <w:t>לאחר שקילה מבטאת פגיעה חמורה במיוחד בערך המוגן, לממית היה די זמן לשקול ולהבין את השלכות מעשיו ובחר לבצע את המעשה.</w:t>
      </w:r>
    </w:p>
    <w:p w:rsidR="00380327" w:rsidRDefault="00380327" w:rsidP="00380327">
      <w:pPr>
        <w:pStyle w:val="a4"/>
        <w:spacing w:line="360" w:lineRule="auto"/>
        <w:ind w:left="360"/>
        <w:jc w:val="both"/>
        <w:rPr>
          <w:rFonts w:ascii="David" w:hAnsi="David" w:cs="David"/>
          <w:sz w:val="24"/>
          <w:szCs w:val="24"/>
          <w:rtl/>
        </w:rPr>
      </w:pPr>
    </w:p>
    <w:p w:rsidR="00380327" w:rsidRDefault="00380327" w:rsidP="00380327">
      <w:pPr>
        <w:pStyle w:val="a4"/>
        <w:spacing w:line="360" w:lineRule="auto"/>
        <w:ind w:left="360"/>
        <w:jc w:val="both"/>
        <w:rPr>
          <w:rFonts w:ascii="David" w:hAnsi="David" w:cs="David"/>
          <w:sz w:val="24"/>
          <w:szCs w:val="24"/>
          <w:rtl/>
        </w:rPr>
      </w:pPr>
    </w:p>
    <w:p w:rsidR="00380327" w:rsidRPr="004C26A2" w:rsidRDefault="00380327" w:rsidP="00380327">
      <w:pPr>
        <w:pStyle w:val="a4"/>
        <w:spacing w:line="360" w:lineRule="auto"/>
        <w:ind w:left="360"/>
        <w:jc w:val="both"/>
        <w:rPr>
          <w:rFonts w:ascii="David" w:hAnsi="David" w:cs="David"/>
          <w:b/>
          <w:bCs/>
          <w:sz w:val="24"/>
          <w:szCs w:val="24"/>
        </w:rPr>
      </w:pPr>
      <w:r>
        <w:rPr>
          <w:rFonts w:ascii="David" w:hAnsi="David" w:cs="David" w:hint="cs"/>
          <w:b/>
          <w:bCs/>
          <w:sz w:val="24"/>
          <w:szCs w:val="24"/>
          <w:rtl/>
        </w:rPr>
        <w:t>סוגיות לדיו</w:t>
      </w:r>
      <w:r w:rsidRPr="004C26A2">
        <w:rPr>
          <w:rFonts w:ascii="David" w:hAnsi="David" w:cs="David" w:hint="cs"/>
          <w:b/>
          <w:bCs/>
          <w:sz w:val="24"/>
          <w:szCs w:val="24"/>
          <w:rtl/>
        </w:rPr>
        <w:t>ן</w:t>
      </w:r>
    </w:p>
    <w:p w:rsidR="00380327" w:rsidRPr="001915FE" w:rsidRDefault="00380327" w:rsidP="00380327">
      <w:pPr>
        <w:pStyle w:val="a4"/>
        <w:spacing w:line="360" w:lineRule="auto"/>
        <w:ind w:left="360"/>
        <w:jc w:val="both"/>
        <w:rPr>
          <w:rFonts w:ascii="David" w:hAnsi="David" w:cs="David"/>
          <w:sz w:val="24"/>
          <w:szCs w:val="24"/>
          <w:rtl/>
        </w:rPr>
      </w:pPr>
      <w:r w:rsidRPr="001915FE">
        <w:rPr>
          <w:rFonts w:ascii="David" w:hAnsi="David" w:cs="David"/>
          <w:sz w:val="24"/>
          <w:szCs w:val="24"/>
          <w:rtl/>
        </w:rPr>
        <w:t>מוצע לדון בשאלה האם רצח לאחר תכנון ושקילה הינו</w:t>
      </w:r>
      <w:r>
        <w:rPr>
          <w:rFonts w:ascii="David" w:hAnsi="David" w:cs="David" w:hint="cs"/>
          <w:sz w:val="24"/>
          <w:szCs w:val="24"/>
          <w:rtl/>
        </w:rPr>
        <w:t xml:space="preserve"> בהכרח</w:t>
      </w:r>
      <w:r w:rsidRPr="001915FE">
        <w:rPr>
          <w:rFonts w:ascii="David" w:hAnsi="David" w:cs="David"/>
          <w:sz w:val="24"/>
          <w:szCs w:val="24"/>
          <w:rtl/>
        </w:rPr>
        <w:t xml:space="preserve"> חמור </w:t>
      </w:r>
      <w:r>
        <w:rPr>
          <w:rFonts w:ascii="David" w:hAnsi="David" w:cs="David" w:hint="cs"/>
          <w:sz w:val="24"/>
          <w:szCs w:val="24"/>
          <w:rtl/>
        </w:rPr>
        <w:t>יותר מהחלטה לקטול שנעשית ללא שקילה</w:t>
      </w:r>
      <w:r w:rsidRPr="001915FE">
        <w:rPr>
          <w:rFonts w:ascii="David" w:hAnsi="David" w:cs="David"/>
          <w:sz w:val="24"/>
          <w:szCs w:val="24"/>
          <w:rtl/>
        </w:rPr>
        <w:t>?</w:t>
      </w:r>
      <w:r w:rsidRPr="00E02AA7">
        <w:rPr>
          <w:rFonts w:ascii="David" w:hAnsi="David" w:cs="David"/>
          <w:sz w:val="24"/>
          <w:szCs w:val="24"/>
          <w:rtl/>
        </w:rPr>
        <w:t xml:space="preserve"> </w:t>
      </w:r>
      <w:r w:rsidRPr="001915FE">
        <w:rPr>
          <w:rFonts w:ascii="David" w:hAnsi="David" w:cs="David"/>
          <w:sz w:val="24"/>
          <w:szCs w:val="24"/>
          <w:rtl/>
        </w:rPr>
        <w:t xml:space="preserve">האם החלטה לקטול חיי אדם אף ללא שקילה מהווה דרגת חומרה נמוכה יותר? </w:t>
      </w:r>
    </w:p>
    <w:p w:rsidR="00380327" w:rsidRPr="001915FE" w:rsidRDefault="00380327" w:rsidP="00380327">
      <w:pPr>
        <w:pStyle w:val="a4"/>
        <w:spacing w:line="360" w:lineRule="auto"/>
        <w:ind w:left="360"/>
        <w:jc w:val="both"/>
        <w:rPr>
          <w:rFonts w:ascii="David" w:hAnsi="David" w:cs="David"/>
          <w:sz w:val="24"/>
          <w:szCs w:val="24"/>
          <w:rtl/>
        </w:rPr>
      </w:pPr>
      <w:r>
        <w:rPr>
          <w:rFonts w:ascii="David" w:hAnsi="David" w:cs="David" w:hint="cs"/>
          <w:sz w:val="24"/>
          <w:szCs w:val="24"/>
          <w:rtl/>
        </w:rPr>
        <w:t xml:space="preserve">ועדת </w:t>
      </w:r>
      <w:r w:rsidRPr="001915FE">
        <w:rPr>
          <w:rFonts w:ascii="David" w:hAnsi="David" w:cs="David"/>
          <w:sz w:val="24"/>
          <w:szCs w:val="24"/>
          <w:rtl/>
        </w:rPr>
        <w:t>קרמניצר התחבט</w:t>
      </w:r>
      <w:r>
        <w:rPr>
          <w:rFonts w:ascii="David" w:hAnsi="David" w:cs="David" w:hint="cs"/>
          <w:sz w:val="24"/>
          <w:szCs w:val="24"/>
          <w:rtl/>
        </w:rPr>
        <w:t>ה</w:t>
      </w:r>
      <w:r w:rsidRPr="001915FE">
        <w:rPr>
          <w:rFonts w:ascii="David" w:hAnsi="David" w:cs="David"/>
          <w:sz w:val="24"/>
          <w:szCs w:val="24"/>
          <w:rtl/>
        </w:rPr>
        <w:t xml:space="preserve"> בשאלה אם בנוסף לקבוע נסיבה מחמירה של מקרה בו לממית הי</w:t>
      </w:r>
      <w:r>
        <w:rPr>
          <w:rFonts w:ascii="David" w:hAnsi="David" w:cs="David" w:hint="cs"/>
          <w:sz w:val="24"/>
          <w:szCs w:val="24"/>
          <w:rtl/>
        </w:rPr>
        <w:t>י</w:t>
      </w:r>
      <w:r w:rsidRPr="001915FE">
        <w:rPr>
          <w:rFonts w:ascii="David" w:hAnsi="David" w:cs="David"/>
          <w:sz w:val="24"/>
          <w:szCs w:val="24"/>
          <w:rtl/>
        </w:rPr>
        <w:t xml:space="preserve">תה הזדמנות לשקול את מעשיו אך בשל העדר עכבות מוסריות וחשיבות לערך של חיי אדם, עשה את המעשה מבלי לקיים הליך של שקילה. </w:t>
      </w:r>
    </w:p>
    <w:p w:rsidR="00380327" w:rsidRPr="001915FE" w:rsidRDefault="00380327" w:rsidP="00380327">
      <w:pPr>
        <w:pStyle w:val="a4"/>
        <w:spacing w:line="360" w:lineRule="auto"/>
        <w:ind w:left="360"/>
        <w:jc w:val="both"/>
        <w:rPr>
          <w:rFonts w:ascii="David" w:hAnsi="David" w:cs="David"/>
          <w:sz w:val="24"/>
          <w:szCs w:val="24"/>
          <w:rtl/>
        </w:rPr>
      </w:pPr>
      <w:r w:rsidRPr="001915FE">
        <w:rPr>
          <w:rFonts w:ascii="David" w:hAnsi="David" w:cs="David"/>
          <w:sz w:val="24"/>
          <w:szCs w:val="24"/>
          <w:rtl/>
        </w:rPr>
        <w:t xml:space="preserve">האם אדם שממית בספונטניות דרגת אשמתו נמוכה יותר ומסוכנותו נמוכה יותר? </w:t>
      </w:r>
    </w:p>
    <w:p w:rsidR="00380327" w:rsidRDefault="00380327" w:rsidP="00380327">
      <w:pPr>
        <w:pStyle w:val="a4"/>
        <w:spacing w:line="360" w:lineRule="auto"/>
        <w:ind w:left="360"/>
        <w:jc w:val="both"/>
        <w:rPr>
          <w:rFonts w:ascii="David" w:hAnsi="David" w:cs="David"/>
          <w:sz w:val="24"/>
          <w:szCs w:val="24"/>
          <w:rtl/>
        </w:rPr>
      </w:pPr>
      <w:r>
        <w:rPr>
          <w:rFonts w:ascii="David" w:hAnsi="David" w:cs="David" w:hint="cs"/>
          <w:sz w:val="24"/>
          <w:szCs w:val="24"/>
          <w:rtl/>
        </w:rPr>
        <w:t xml:space="preserve">כמו כן, </w:t>
      </w:r>
      <w:r w:rsidRPr="001915FE">
        <w:rPr>
          <w:rFonts w:ascii="David" w:hAnsi="David" w:cs="David"/>
          <w:sz w:val="24"/>
          <w:szCs w:val="24"/>
          <w:rtl/>
        </w:rPr>
        <w:t xml:space="preserve">מוצע לבחון האם הנוסח </w:t>
      </w:r>
      <w:r>
        <w:rPr>
          <w:rFonts w:ascii="David" w:hAnsi="David" w:cs="David" w:hint="cs"/>
          <w:sz w:val="24"/>
          <w:szCs w:val="24"/>
          <w:rtl/>
        </w:rPr>
        <w:t xml:space="preserve">של "הליך ממשי של שקילה" אינו </w:t>
      </w:r>
      <w:r>
        <w:rPr>
          <w:rFonts w:ascii="David" w:hAnsi="David" w:cs="David"/>
          <w:sz w:val="24"/>
          <w:szCs w:val="24"/>
          <w:rtl/>
        </w:rPr>
        <w:t>נוקשה מד</w:t>
      </w:r>
      <w:r>
        <w:rPr>
          <w:rFonts w:ascii="David" w:hAnsi="David" w:cs="David" w:hint="cs"/>
          <w:sz w:val="24"/>
          <w:szCs w:val="24"/>
          <w:rtl/>
        </w:rPr>
        <w:t>י?</w:t>
      </w:r>
    </w:p>
    <w:p w:rsidR="00380327" w:rsidRPr="001915FE" w:rsidRDefault="00380327" w:rsidP="00380327">
      <w:pPr>
        <w:pStyle w:val="a4"/>
        <w:spacing w:line="360" w:lineRule="auto"/>
        <w:ind w:left="360"/>
        <w:jc w:val="both"/>
        <w:rPr>
          <w:rFonts w:ascii="David" w:hAnsi="David" w:cs="David"/>
          <w:sz w:val="24"/>
          <w:szCs w:val="24"/>
        </w:rPr>
      </w:pPr>
    </w:p>
    <w:p w:rsidR="00380327" w:rsidRPr="001915FE" w:rsidRDefault="00380327" w:rsidP="00380327">
      <w:pPr>
        <w:pStyle w:val="a4"/>
        <w:numPr>
          <w:ilvl w:val="0"/>
          <w:numId w:val="3"/>
        </w:numPr>
        <w:spacing w:after="0" w:line="360" w:lineRule="auto"/>
        <w:jc w:val="both"/>
        <w:rPr>
          <w:rFonts w:ascii="David" w:hAnsi="David" w:cs="David"/>
          <w:b/>
          <w:bCs/>
          <w:sz w:val="24"/>
          <w:szCs w:val="24"/>
        </w:rPr>
      </w:pPr>
      <w:r w:rsidRPr="001915FE">
        <w:rPr>
          <w:rFonts w:ascii="David" w:hAnsi="David" w:cs="David"/>
          <w:b/>
          <w:bCs/>
          <w:sz w:val="24"/>
          <w:szCs w:val="24"/>
          <w:rtl/>
        </w:rPr>
        <w:t>המעשה נעשה במטרה לאפשר ביצוע עבירה אחרת או להקל על ביצועה, או במטרה להסתיר ביצועה של עבירה אחרת או לאפשר הימלטות מהדין לאחר ביצוע העבירה האחרת.</w:t>
      </w:r>
    </w:p>
    <w:p w:rsidR="00380327" w:rsidRPr="001915FE" w:rsidRDefault="00380327" w:rsidP="00380327">
      <w:pPr>
        <w:pStyle w:val="a4"/>
        <w:spacing w:after="0" w:line="360" w:lineRule="auto"/>
        <w:ind w:left="360"/>
        <w:jc w:val="both"/>
        <w:rPr>
          <w:rFonts w:ascii="David" w:hAnsi="David" w:cs="David"/>
          <w:sz w:val="24"/>
          <w:szCs w:val="24"/>
          <w:rtl/>
        </w:rPr>
      </w:pPr>
      <w:r w:rsidRPr="001915FE">
        <w:rPr>
          <w:rFonts w:ascii="David" w:hAnsi="David" w:cs="David"/>
          <w:sz w:val="24"/>
          <w:szCs w:val="24"/>
          <w:rtl/>
        </w:rPr>
        <w:t>נסיבה זו קיימת</w:t>
      </w:r>
      <w:r w:rsidRPr="005F6B92">
        <w:rPr>
          <w:rFonts w:ascii="David" w:hAnsi="David" w:cs="David"/>
          <w:sz w:val="24"/>
          <w:szCs w:val="24"/>
          <w:rtl/>
        </w:rPr>
        <w:t xml:space="preserve"> </w:t>
      </w:r>
      <w:r>
        <w:rPr>
          <w:rFonts w:ascii="David" w:hAnsi="David" w:cs="David" w:hint="cs"/>
          <w:sz w:val="24"/>
          <w:szCs w:val="24"/>
          <w:rtl/>
        </w:rPr>
        <w:t xml:space="preserve">בנוסח דומה גם </w:t>
      </w:r>
      <w:r w:rsidRPr="001915FE">
        <w:rPr>
          <w:rFonts w:ascii="David" w:hAnsi="David" w:cs="David"/>
          <w:sz w:val="24"/>
          <w:szCs w:val="24"/>
          <w:rtl/>
        </w:rPr>
        <w:t>בעבירת הרצח כיום (ודי במקרים אלה מחשבה פלילית, קרי, מודעות וצפייה של התרחשות התוצאה), כדלקמן:</w:t>
      </w:r>
    </w:p>
    <w:p w:rsidR="00380327" w:rsidRPr="001915FE" w:rsidRDefault="00380327" w:rsidP="00380327">
      <w:pPr>
        <w:spacing w:after="0" w:line="240" w:lineRule="auto"/>
        <w:ind w:left="360"/>
        <w:jc w:val="both"/>
        <w:rPr>
          <w:rFonts w:ascii="David" w:hAnsi="David" w:cs="David"/>
          <w:b/>
          <w:bCs/>
          <w:sz w:val="24"/>
          <w:szCs w:val="24"/>
          <w:rtl/>
        </w:rPr>
      </w:pPr>
      <w:r w:rsidRPr="001915FE">
        <w:rPr>
          <w:rFonts w:ascii="David" w:hAnsi="David" w:cs="David"/>
          <w:sz w:val="24"/>
          <w:szCs w:val="24"/>
          <w:rtl/>
        </w:rPr>
        <w:t xml:space="preserve">" </w:t>
      </w:r>
      <w:r w:rsidRPr="001915FE">
        <w:rPr>
          <w:rFonts w:ascii="David" w:hAnsi="David" w:cs="David"/>
          <w:b/>
          <w:bCs/>
          <w:sz w:val="24"/>
          <w:szCs w:val="24"/>
          <w:rtl/>
        </w:rPr>
        <w:t>(א) העושה אחת מאלה יאשם ברצח ודינו- מאסר עולם ועונש זה בלבד:</w:t>
      </w:r>
    </w:p>
    <w:p w:rsidR="00380327" w:rsidRPr="001915FE" w:rsidRDefault="00380327" w:rsidP="00380327">
      <w:pPr>
        <w:pStyle w:val="P22"/>
        <w:spacing w:before="0"/>
        <w:ind w:left="1381" w:right="1134"/>
        <w:rPr>
          <w:rStyle w:val="default"/>
          <w:rFonts w:ascii="David" w:hAnsi="David" w:cs="David"/>
          <w:b/>
          <w:bCs/>
          <w:sz w:val="24"/>
          <w:szCs w:val="24"/>
          <w:rtl/>
        </w:rPr>
      </w:pPr>
      <w:r w:rsidRPr="001915FE">
        <w:rPr>
          <w:rStyle w:val="default"/>
          <w:rFonts w:ascii="David" w:hAnsi="David" w:cs="David"/>
          <w:b/>
          <w:bCs/>
          <w:sz w:val="24"/>
          <w:szCs w:val="24"/>
          <w:rtl/>
        </w:rPr>
        <w:t>.............</w:t>
      </w:r>
    </w:p>
    <w:p w:rsidR="00380327" w:rsidRPr="001915FE" w:rsidRDefault="00380327" w:rsidP="00380327">
      <w:pPr>
        <w:pStyle w:val="P22"/>
        <w:spacing w:before="0"/>
        <w:ind w:left="1381" w:right="1134"/>
        <w:rPr>
          <w:rStyle w:val="default"/>
          <w:rFonts w:ascii="David" w:hAnsi="David" w:cs="David"/>
          <w:b/>
          <w:bCs/>
          <w:sz w:val="24"/>
          <w:szCs w:val="24"/>
          <w:rtl/>
        </w:rPr>
      </w:pPr>
      <w:r w:rsidRPr="001915FE">
        <w:rPr>
          <w:rStyle w:val="default"/>
          <w:rFonts w:ascii="David" w:hAnsi="David" w:cs="David"/>
          <w:b/>
          <w:bCs/>
          <w:sz w:val="24"/>
          <w:szCs w:val="24"/>
          <w:rtl/>
        </w:rPr>
        <w:t>(3)</w:t>
      </w:r>
      <w:r w:rsidRPr="001915FE">
        <w:rPr>
          <w:rStyle w:val="default"/>
          <w:rFonts w:ascii="David" w:hAnsi="David" w:cs="David"/>
          <w:b/>
          <w:bCs/>
          <w:sz w:val="24"/>
          <w:szCs w:val="24"/>
          <w:rtl/>
        </w:rPr>
        <w:tab/>
        <w:t>גורם במזיד למותו של אדם תוך ביצוע עבירה או תוך הכנות לביצועה או כדי להקל על ביצועה;</w:t>
      </w:r>
    </w:p>
    <w:p w:rsidR="00380327" w:rsidRPr="001915FE" w:rsidRDefault="00380327" w:rsidP="00380327">
      <w:pPr>
        <w:pStyle w:val="P22"/>
        <w:spacing w:before="0"/>
        <w:ind w:left="1381" w:right="1134"/>
        <w:rPr>
          <w:rStyle w:val="default"/>
          <w:rFonts w:ascii="David" w:hAnsi="David" w:cs="David"/>
          <w:b/>
          <w:bCs/>
          <w:sz w:val="24"/>
          <w:szCs w:val="24"/>
          <w:rtl/>
        </w:rPr>
      </w:pPr>
      <w:r w:rsidRPr="001915FE">
        <w:rPr>
          <w:rStyle w:val="default"/>
          <w:rFonts w:ascii="David" w:hAnsi="David" w:cs="David"/>
          <w:b/>
          <w:bCs/>
          <w:sz w:val="24"/>
          <w:szCs w:val="24"/>
          <w:rtl/>
        </w:rPr>
        <w:t>(4)</w:t>
      </w:r>
      <w:r w:rsidRPr="001915FE">
        <w:rPr>
          <w:rStyle w:val="default"/>
          <w:rFonts w:ascii="David" w:hAnsi="David" w:cs="David"/>
          <w:b/>
          <w:bCs/>
          <w:sz w:val="24"/>
          <w:szCs w:val="24"/>
          <w:rtl/>
        </w:rPr>
        <w:tab/>
        <w:t>גורם למותו של אדם כשנעברה עבירה אחרת, כדי להבטיח לעצמו, או למי שהשתתף בביצוע אותה עבירה, בריחה או הימלטות מעונש."</w:t>
      </w:r>
    </w:p>
    <w:p w:rsidR="00380327" w:rsidRPr="001915FE" w:rsidRDefault="00380327" w:rsidP="00380327">
      <w:pPr>
        <w:pStyle w:val="a4"/>
        <w:spacing w:after="0" w:line="240" w:lineRule="auto"/>
        <w:ind w:left="360"/>
        <w:jc w:val="both"/>
        <w:rPr>
          <w:rFonts w:ascii="David" w:hAnsi="David" w:cs="David"/>
          <w:b/>
          <w:bCs/>
          <w:sz w:val="24"/>
          <w:szCs w:val="24"/>
          <w:rtl/>
        </w:rPr>
      </w:pPr>
    </w:p>
    <w:p w:rsidR="00380327" w:rsidRPr="009156ED" w:rsidRDefault="00380327" w:rsidP="00380327">
      <w:pPr>
        <w:pStyle w:val="a4"/>
        <w:spacing w:after="0" w:line="360" w:lineRule="auto"/>
        <w:ind w:left="360"/>
        <w:jc w:val="both"/>
        <w:rPr>
          <w:rFonts w:ascii="David" w:hAnsi="David" w:cs="David"/>
          <w:sz w:val="24"/>
          <w:szCs w:val="24"/>
          <w:rtl/>
        </w:rPr>
      </w:pPr>
      <w:r w:rsidRPr="009156ED">
        <w:rPr>
          <w:rFonts w:ascii="David" w:hAnsi="David" w:cs="David"/>
          <w:sz w:val="24"/>
          <w:szCs w:val="24"/>
          <w:rtl/>
        </w:rPr>
        <w:t>על נושא זה עמדה באריכות הנשיאה בייניש (כתוארה אז) בפס"ד אבו זייד</w:t>
      </w:r>
      <w:r>
        <w:rPr>
          <w:rStyle w:val="a7"/>
          <w:rFonts w:ascii="David" w:hAnsi="David" w:cs="David"/>
          <w:sz w:val="24"/>
          <w:szCs w:val="24"/>
          <w:rtl/>
        </w:rPr>
        <w:footnoteReference w:id="2"/>
      </w:r>
      <w:r w:rsidRPr="009156ED">
        <w:rPr>
          <w:rFonts w:ascii="David" w:hAnsi="David" w:cs="David"/>
          <w:sz w:val="24"/>
          <w:szCs w:val="24"/>
          <w:rtl/>
        </w:rPr>
        <w:t>. בהתייחסותה לתכלית סעיף 300(א)(3) מציינת הנשיאה בייניש כי:</w:t>
      </w:r>
    </w:p>
    <w:p w:rsidR="00380327" w:rsidRPr="001915FE" w:rsidRDefault="00380327" w:rsidP="00380327">
      <w:pPr>
        <w:pStyle w:val="Ruller4"/>
        <w:spacing w:line="240" w:lineRule="auto"/>
        <w:ind w:left="561" w:right="561"/>
        <w:rPr>
          <w:rFonts w:ascii="David" w:hAnsi="David" w:cs="David"/>
          <w:b/>
          <w:bCs/>
          <w:sz w:val="24"/>
          <w:szCs w:val="24"/>
          <w:rtl/>
        </w:rPr>
      </w:pPr>
      <w:r w:rsidRPr="001915FE">
        <w:rPr>
          <w:rFonts w:ascii="David" w:hAnsi="David" w:cs="David"/>
          <w:b/>
          <w:bCs/>
          <w:sz w:val="24"/>
          <w:szCs w:val="24"/>
          <w:rtl/>
        </w:rPr>
        <w:t>"הדגש בסעיף זה מושם על ביצועה של העבירה האחרת, ועל כן תכליתו של הסעיף הינה הרתעת עבריין מביצוע עבירה באופן המסכן חיי אדם. במילים אחרות, הסעיף לא נועד להרתיע את העבריין מביצוע העבירה האחרת (לשם כך די היה בהחמרת הענישה על העבירה האחרת), אלא להרתיע את העבריין המבצע את העבירה המקורית מלסכן חיי אדם ולהגן על חיי קורבנות העבירה האחרת.......</w:t>
      </w:r>
      <w:r>
        <w:rPr>
          <w:rFonts w:ascii="David" w:hAnsi="David" w:cs="David" w:hint="cs"/>
          <w:b/>
          <w:bCs/>
          <w:sz w:val="24"/>
          <w:szCs w:val="24"/>
          <w:rtl/>
        </w:rPr>
        <w:t>".</w:t>
      </w:r>
    </w:p>
    <w:p w:rsidR="00380327" w:rsidRPr="001915FE" w:rsidRDefault="00380327" w:rsidP="00380327">
      <w:pPr>
        <w:pStyle w:val="Ruller4"/>
        <w:spacing w:before="120"/>
        <w:ind w:left="562" w:right="562"/>
        <w:rPr>
          <w:rFonts w:ascii="David" w:hAnsi="David" w:cs="David"/>
          <w:sz w:val="24"/>
          <w:szCs w:val="24"/>
          <w:rtl/>
        </w:rPr>
      </w:pPr>
      <w:r w:rsidRPr="001915FE">
        <w:rPr>
          <w:rFonts w:ascii="David" w:hAnsi="David" w:cs="David"/>
          <w:sz w:val="24"/>
          <w:szCs w:val="24"/>
          <w:rtl/>
        </w:rPr>
        <w:t>לעניין סעיף 300(א)(4) קובעת הנשיאה בייניש כי:</w:t>
      </w:r>
    </w:p>
    <w:p w:rsidR="00380327" w:rsidRDefault="00380327" w:rsidP="00380327">
      <w:pPr>
        <w:pStyle w:val="Ruller4"/>
        <w:spacing w:line="240" w:lineRule="auto"/>
        <w:ind w:left="561" w:right="561"/>
        <w:rPr>
          <w:rFonts w:ascii="David" w:hAnsi="David" w:cs="David"/>
          <w:b/>
          <w:bCs/>
          <w:sz w:val="24"/>
          <w:szCs w:val="24"/>
          <w:rtl/>
        </w:rPr>
      </w:pPr>
      <w:r w:rsidRPr="001915FE">
        <w:rPr>
          <w:rFonts w:ascii="David" w:hAnsi="David" w:cs="David"/>
          <w:b/>
          <w:bCs/>
          <w:sz w:val="24"/>
          <w:szCs w:val="24"/>
          <w:rtl/>
        </w:rPr>
        <w:t>"תכליתה של הוראת הסעיף, הינה, אפוא, הרתעת עבריין אשר ביצע עבירה פלילית, מסיכון חיי אדם לשם הימלטות מעונש או לשם הבטחת מנוסתו מזירת האירוע.</w:t>
      </w:r>
      <w:r>
        <w:rPr>
          <w:rFonts w:ascii="David" w:hAnsi="David" w:cs="David" w:hint="cs"/>
          <w:b/>
          <w:bCs/>
          <w:sz w:val="24"/>
          <w:szCs w:val="24"/>
          <w:rtl/>
        </w:rPr>
        <w:t>".</w:t>
      </w:r>
    </w:p>
    <w:p w:rsidR="00380327" w:rsidRPr="001915FE" w:rsidRDefault="00380327" w:rsidP="00380327">
      <w:pPr>
        <w:pStyle w:val="Ruller4"/>
        <w:spacing w:before="120"/>
        <w:ind w:left="562" w:right="562"/>
        <w:rPr>
          <w:rFonts w:ascii="David" w:hAnsi="David" w:cs="David"/>
          <w:b/>
          <w:bCs/>
          <w:sz w:val="24"/>
          <w:szCs w:val="24"/>
          <w:rtl/>
        </w:rPr>
      </w:pPr>
    </w:p>
    <w:p w:rsidR="00380327" w:rsidRDefault="00380327" w:rsidP="00380327">
      <w:pPr>
        <w:pStyle w:val="a4"/>
        <w:spacing w:after="0" w:line="360" w:lineRule="auto"/>
        <w:ind w:left="360"/>
        <w:jc w:val="both"/>
        <w:rPr>
          <w:rFonts w:ascii="David" w:hAnsi="David" w:cs="David"/>
          <w:sz w:val="24"/>
          <w:szCs w:val="24"/>
          <w:rtl/>
        </w:rPr>
      </w:pPr>
      <w:r w:rsidRPr="00627FA5">
        <w:rPr>
          <w:rFonts w:ascii="David" w:hAnsi="David" w:cs="David" w:hint="cs"/>
          <w:sz w:val="24"/>
          <w:szCs w:val="24"/>
          <w:rtl/>
        </w:rPr>
        <w:t>בע"פ 9256/11 מציין השופט עמית כי "</w:t>
      </w:r>
      <w:r w:rsidRPr="00627FA5">
        <w:rPr>
          <w:rFonts w:ascii="David" w:hAnsi="David" w:cs="David" w:hint="cs"/>
          <w:b/>
          <w:bCs/>
          <w:sz w:val="24"/>
          <w:szCs w:val="24"/>
          <w:rtl/>
        </w:rPr>
        <w:t>הרעיון שביסוד הסעיף הוא שישנה חומרה מיוחדת בכך שאדם מעדיף במודע את מטרת ביצוע העבירה האחרת על פני חיי האדם שקיפח במהלך עשייתה".</w:t>
      </w:r>
    </w:p>
    <w:p w:rsidR="00380327" w:rsidRPr="001915FE" w:rsidRDefault="00380327" w:rsidP="00380327">
      <w:pPr>
        <w:pStyle w:val="a4"/>
        <w:spacing w:after="0" w:line="360" w:lineRule="auto"/>
        <w:ind w:left="360"/>
        <w:jc w:val="both"/>
        <w:rPr>
          <w:rFonts w:ascii="David" w:hAnsi="David" w:cs="David"/>
          <w:sz w:val="24"/>
          <w:szCs w:val="24"/>
          <w:rtl/>
        </w:rPr>
      </w:pPr>
    </w:p>
    <w:p w:rsidR="00380327" w:rsidRPr="001915FE" w:rsidRDefault="00380327" w:rsidP="00380327">
      <w:pPr>
        <w:pStyle w:val="a4"/>
        <w:spacing w:after="0" w:line="360" w:lineRule="auto"/>
        <w:ind w:left="360"/>
        <w:jc w:val="both"/>
        <w:rPr>
          <w:rFonts w:ascii="David" w:hAnsi="David" w:cs="David"/>
          <w:sz w:val="24"/>
          <w:szCs w:val="24"/>
          <w:rtl/>
        </w:rPr>
      </w:pPr>
      <w:r w:rsidRPr="001915FE">
        <w:rPr>
          <w:rFonts w:ascii="David" w:hAnsi="David" w:cs="David"/>
          <w:sz w:val="24"/>
          <w:szCs w:val="24"/>
          <w:rtl/>
        </w:rPr>
        <w:t>הפסיקה קבעה כי על העבירה האחרת להיות עצמאית ונפרדת מעבירת ההמתה, יסודותיה אינם יכולים להיבלע בעבירת ההמתה</w:t>
      </w:r>
      <w:r w:rsidRPr="001915FE">
        <w:rPr>
          <w:rStyle w:val="a7"/>
          <w:rFonts w:ascii="David" w:hAnsi="David" w:cs="David"/>
          <w:sz w:val="24"/>
          <w:szCs w:val="24"/>
          <w:rtl/>
        </w:rPr>
        <w:footnoteReference w:id="3"/>
      </w:r>
      <w:r w:rsidRPr="001915FE">
        <w:rPr>
          <w:rFonts w:ascii="David" w:hAnsi="David" w:cs="David"/>
          <w:sz w:val="24"/>
          <w:szCs w:val="24"/>
          <w:rtl/>
        </w:rPr>
        <w:t xml:space="preserve">. </w:t>
      </w:r>
    </w:p>
    <w:p w:rsidR="00380327" w:rsidRPr="001915FE" w:rsidRDefault="00380327" w:rsidP="00380327">
      <w:pPr>
        <w:pStyle w:val="Ruller4"/>
        <w:spacing w:before="120"/>
        <w:ind w:left="562" w:right="562"/>
        <w:rPr>
          <w:rFonts w:ascii="David" w:hAnsi="David" w:cs="David"/>
          <w:sz w:val="24"/>
          <w:szCs w:val="24"/>
          <w:rtl/>
        </w:rPr>
      </w:pPr>
      <w:r w:rsidRPr="001915FE">
        <w:rPr>
          <w:rFonts w:ascii="David" w:hAnsi="David" w:cs="David"/>
          <w:sz w:val="24"/>
          <w:szCs w:val="24"/>
          <w:rtl/>
        </w:rPr>
        <w:t>בעניין אבו זייד  הנשיאה בייניש מדגישה כי:</w:t>
      </w:r>
    </w:p>
    <w:p w:rsidR="00380327" w:rsidRPr="001915FE" w:rsidRDefault="00380327" w:rsidP="00380327">
      <w:pPr>
        <w:pStyle w:val="Ruller4"/>
        <w:spacing w:before="120" w:line="240" w:lineRule="auto"/>
        <w:ind w:left="562" w:right="562"/>
        <w:rPr>
          <w:rFonts w:ascii="David" w:hAnsi="David" w:cs="David"/>
          <w:b/>
          <w:bCs/>
          <w:sz w:val="24"/>
          <w:szCs w:val="24"/>
          <w:rtl/>
        </w:rPr>
      </w:pPr>
      <w:r w:rsidRPr="001915FE">
        <w:rPr>
          <w:rFonts w:ascii="David" w:hAnsi="David" w:cs="David"/>
          <w:b/>
          <w:bCs/>
          <w:sz w:val="24"/>
          <w:szCs w:val="24"/>
          <w:rtl/>
        </w:rPr>
        <w:t>"הקביעה כי מדובר בשתי עבירות נפרדות, אשר אינן נבלעות זו בזו, אינה מובילה למסקנה הנטענת על-ידי המערער, ולפיה כל תקיפה בנשק שהוחזק שלא כדין תאפשר הרשעה ברצח - אלא רק כזו שנעשית במהלך ניסיון הימלטות ולשם הצלחת תכנית הבריחה. העובדה כי מ</w:t>
      </w:r>
      <w:smartTag w:uri="urn:schemas-microsoft-com:office:smarttags" w:element="PersonName">
        <w:r w:rsidRPr="001915FE">
          <w:rPr>
            <w:rFonts w:ascii="David" w:hAnsi="David" w:cs="David"/>
            <w:b/>
            <w:bCs/>
            <w:sz w:val="24"/>
            <w:szCs w:val="24"/>
            <w:rtl/>
          </w:rPr>
          <w:t>דובר</w:t>
        </w:r>
      </w:smartTag>
      <w:r w:rsidRPr="001915FE">
        <w:rPr>
          <w:rFonts w:ascii="David" w:hAnsi="David" w:cs="David"/>
          <w:b/>
          <w:bCs/>
          <w:sz w:val="24"/>
          <w:szCs w:val="24"/>
          <w:rtl/>
        </w:rPr>
        <w:t xml:space="preserve"> בעבירת מטרה מונעת את האפשרות שכל גרימת מוות שנעשתה באופן אקראי אגב ביצועה של עבירה אחרת, כגון נשיאת נשק שלא כדין, תאפשר הרשעה ברצח. אלא, נדרש כי מעשה ההמתה בוצע מתוך מטרה להימלט – ורק בנסיבות מיוחדות אלה ניתן יהיה להחמיר את דרגת האחריות הפלילית המיוחסת לנאשם (א' </w:t>
      </w:r>
      <w:hyperlink r:id="rId7" w:history="1">
        <w:r w:rsidRPr="001915FE">
          <w:rPr>
            <w:rFonts w:ascii="David" w:hAnsi="David" w:cs="David"/>
            <w:b/>
            <w:bCs/>
            <w:sz w:val="24"/>
            <w:szCs w:val="24"/>
            <w:rtl/>
          </w:rPr>
          <w:t xml:space="preserve">אנקר "רצח תוך ביצוע עבירה: </w:t>
        </w:r>
      </w:hyperlink>
      <w:r w:rsidRPr="001915FE">
        <w:rPr>
          <w:rFonts w:ascii="David" w:hAnsi="David" w:cs="David"/>
          <w:b/>
          <w:bCs/>
          <w:sz w:val="24"/>
          <w:szCs w:val="24"/>
          <w:rtl/>
        </w:rPr>
        <w:t xml:space="preserve"> היחס בין העבירה האחרת לעבירת גרם המוות" מחקרי משפט א' (תש"ם) 1, בעמ' 38 (להלן: אנקר)).".</w:t>
      </w:r>
    </w:p>
    <w:p w:rsidR="00380327" w:rsidRPr="00D10E40" w:rsidRDefault="00380327" w:rsidP="00380327">
      <w:pPr>
        <w:pStyle w:val="Ruller4"/>
        <w:spacing w:before="120"/>
        <w:ind w:left="562" w:right="562"/>
        <w:rPr>
          <w:rFonts w:ascii="David" w:hAnsi="David" w:cs="David"/>
          <w:b/>
          <w:bCs/>
          <w:spacing w:val="0"/>
          <w:sz w:val="24"/>
          <w:szCs w:val="24"/>
          <w:rtl/>
        </w:rPr>
      </w:pPr>
    </w:p>
    <w:p w:rsidR="00380327" w:rsidRPr="003466FB" w:rsidRDefault="00380327" w:rsidP="00380327">
      <w:pPr>
        <w:pStyle w:val="a4"/>
        <w:spacing w:before="120" w:after="0" w:line="360" w:lineRule="auto"/>
        <w:ind w:left="357"/>
        <w:jc w:val="both"/>
        <w:rPr>
          <w:rFonts w:ascii="David" w:hAnsi="David" w:cs="David"/>
          <w:sz w:val="24"/>
          <w:szCs w:val="24"/>
          <w:rtl/>
        </w:rPr>
      </w:pPr>
      <w:r w:rsidRPr="001915FE">
        <w:rPr>
          <w:rFonts w:ascii="David" w:hAnsi="David" w:cs="David"/>
          <w:sz w:val="24"/>
          <w:szCs w:val="24"/>
          <w:rtl/>
        </w:rPr>
        <w:t xml:space="preserve">בנושא זה, מתעוררות שתי שאלות נוספות- האחת, ביחס בין העבירה האחרת למעשה ההמתה, והשנייה בדבר מהות העבירה האחרת (כפי שיפורט בהמשך). לעניין היחס בין העבירות, הנוסח המוצע, כאמור, שונה מהנוסח הקיים בדבר ביצוע המתה </w:t>
      </w:r>
      <w:r w:rsidRPr="003466FB">
        <w:rPr>
          <w:rFonts w:ascii="David" w:hAnsi="David" w:cs="David"/>
          <w:sz w:val="24"/>
          <w:szCs w:val="24"/>
          <w:rtl/>
        </w:rPr>
        <w:t>תוך כדי</w:t>
      </w:r>
      <w:r w:rsidRPr="001915FE">
        <w:rPr>
          <w:rFonts w:ascii="David" w:hAnsi="David" w:cs="David"/>
          <w:sz w:val="24"/>
          <w:szCs w:val="24"/>
          <w:rtl/>
        </w:rPr>
        <w:t xml:space="preserve"> ביצוע עבירה אחרת, בכך מאמצת הצעת החוק את הערותיה של הנשיאה בייניש בפרשת אבו זייד</w:t>
      </w:r>
      <w:r>
        <w:rPr>
          <w:rStyle w:val="a7"/>
          <w:rFonts w:ascii="David" w:hAnsi="David" w:cs="David"/>
          <w:sz w:val="24"/>
          <w:szCs w:val="24"/>
          <w:rtl/>
        </w:rPr>
        <w:footnoteReference w:id="4"/>
      </w:r>
      <w:r w:rsidRPr="001915FE">
        <w:rPr>
          <w:rFonts w:ascii="David" w:hAnsi="David" w:cs="David"/>
          <w:sz w:val="24"/>
          <w:szCs w:val="24"/>
          <w:rtl/>
        </w:rPr>
        <w:t>:</w:t>
      </w:r>
      <w:r w:rsidRPr="003466FB">
        <w:rPr>
          <w:rFonts w:ascii="David" w:hAnsi="David" w:cs="David"/>
          <w:sz w:val="24"/>
          <w:szCs w:val="24"/>
          <w:rtl/>
        </w:rPr>
        <w:t xml:space="preserve"> </w:t>
      </w:r>
    </w:p>
    <w:p w:rsidR="00380327" w:rsidRPr="001915FE" w:rsidRDefault="00380327" w:rsidP="00380327">
      <w:pPr>
        <w:pStyle w:val="a4"/>
        <w:spacing w:before="120" w:after="0" w:line="240" w:lineRule="auto"/>
        <w:ind w:left="357"/>
        <w:jc w:val="both"/>
        <w:rPr>
          <w:rFonts w:ascii="David" w:hAnsi="David" w:cs="David"/>
          <w:spacing w:val="10"/>
          <w:sz w:val="24"/>
          <w:szCs w:val="24"/>
          <w:u w:val="single"/>
          <w:rtl/>
        </w:rPr>
      </w:pPr>
      <w:r w:rsidRPr="001915FE">
        <w:rPr>
          <w:rFonts w:ascii="David" w:hAnsi="David" w:cs="David"/>
          <w:b/>
          <w:bCs/>
          <w:spacing w:val="10"/>
          <w:sz w:val="24"/>
          <w:szCs w:val="24"/>
          <w:rtl/>
        </w:rPr>
        <w:t xml:space="preserve">"פרשנות מילולית וצרה של הניסוח "תוך כדי", המוותרת כליל על דרישה של קשר סיבתי בין ההתנהגות שגרמה למוות לבין העבירה האחרת, עלולה להרחיב את תחום התפרשותה של עבירת הרצח יתר על המידה...... לעומת זאת, פרשנות קוהרנטית של החלופות הכלולות בסעיף זה, תוך שימת דגש על תכליתו, מביאה למסקנה כי בכל שלוש החלופות אין להסתפק בקשר של בו-זמניות בלבד, אלא יש לדרוש, לכל הפחות, גם את קיומו של קשר סיבתי בין העבירה האחרת לעבירת גרם המוות. היינו, נדרש </w:t>
      </w:r>
      <w:r w:rsidRPr="001915FE">
        <w:rPr>
          <w:rFonts w:ascii="David" w:hAnsi="David" w:cs="David"/>
          <w:b/>
          <w:bCs/>
          <w:spacing w:val="10"/>
          <w:sz w:val="24"/>
          <w:szCs w:val="24"/>
          <w:u w:val="single"/>
          <w:rtl/>
        </w:rPr>
        <w:t xml:space="preserve">כי ההתנהגות שגרמה למוות נועדה לקדם, להקל או לאפשר את ביצועה של העבירה האחרת. </w:t>
      </w:r>
      <w:r w:rsidRPr="001915FE">
        <w:rPr>
          <w:rFonts w:ascii="David" w:hAnsi="David" w:cs="David"/>
          <w:spacing w:val="10"/>
          <w:sz w:val="24"/>
          <w:szCs w:val="24"/>
          <w:rtl/>
        </w:rPr>
        <w:t>(ההדגשה אינה במקור)</w:t>
      </w:r>
    </w:p>
    <w:p w:rsidR="00380327" w:rsidRPr="001915FE" w:rsidRDefault="00380327" w:rsidP="00380327">
      <w:pPr>
        <w:pStyle w:val="a4"/>
        <w:spacing w:after="0" w:line="240" w:lineRule="auto"/>
        <w:ind w:left="360"/>
        <w:jc w:val="both"/>
        <w:rPr>
          <w:rFonts w:ascii="David" w:hAnsi="David" w:cs="David"/>
          <w:b/>
          <w:bCs/>
          <w:spacing w:val="10"/>
          <w:sz w:val="24"/>
          <w:szCs w:val="24"/>
          <w:rtl/>
        </w:rPr>
      </w:pPr>
      <w:r w:rsidRPr="001915FE">
        <w:rPr>
          <w:rFonts w:ascii="David" w:hAnsi="David" w:cs="David"/>
          <w:b/>
          <w:bCs/>
          <w:spacing w:val="10"/>
          <w:sz w:val="24"/>
          <w:szCs w:val="24"/>
          <w:rtl/>
        </w:rPr>
        <w:t>ללא דרישת קשר סיבתי בין גרימת המוות לבין מימושה של העבירה האחרת, עלולה להוביל לכך שכמעט כל מעשה המתה המבוצע באמצעות נשק קר או חם יהווה רצח (למעט מקרים בהם הוחזק הנשק ברישיון)....מכל מקום, איננו נדרשים להכריע בשאלות אלה ולקבוע באופן מדויק את גבולות תחולתו של סעיף 300(א)(3) לחוק......".</w:t>
      </w:r>
      <w:r w:rsidRPr="001915FE">
        <w:rPr>
          <w:rStyle w:val="a7"/>
          <w:rFonts w:ascii="David" w:hAnsi="David" w:cs="David"/>
          <w:b/>
          <w:bCs/>
          <w:spacing w:val="10"/>
          <w:sz w:val="24"/>
          <w:szCs w:val="24"/>
          <w:rtl/>
        </w:rPr>
        <w:footnoteReference w:id="5"/>
      </w:r>
    </w:p>
    <w:p w:rsidR="00380327" w:rsidRPr="003466FB" w:rsidRDefault="00380327" w:rsidP="00380327">
      <w:pPr>
        <w:spacing w:line="360" w:lineRule="auto"/>
        <w:jc w:val="both"/>
        <w:rPr>
          <w:rFonts w:ascii="David" w:hAnsi="David" w:cs="David"/>
          <w:sz w:val="24"/>
          <w:szCs w:val="24"/>
          <w:rtl/>
        </w:rPr>
      </w:pPr>
      <w:r w:rsidRPr="003466FB">
        <w:rPr>
          <w:rFonts w:ascii="David" w:hAnsi="David" w:cs="David"/>
          <w:sz w:val="24"/>
          <w:szCs w:val="24"/>
          <w:rtl/>
        </w:rPr>
        <w:t xml:space="preserve">הצעת החוק </w:t>
      </w:r>
      <w:r>
        <w:rPr>
          <w:rFonts w:ascii="David" w:hAnsi="David" w:cs="David" w:hint="cs"/>
          <w:sz w:val="24"/>
          <w:szCs w:val="24"/>
          <w:rtl/>
        </w:rPr>
        <w:t xml:space="preserve">מאמצת כאמור </w:t>
      </w:r>
      <w:r w:rsidRPr="003466FB">
        <w:rPr>
          <w:rFonts w:ascii="David" w:hAnsi="David" w:cs="David"/>
          <w:sz w:val="24"/>
          <w:szCs w:val="24"/>
          <w:rtl/>
        </w:rPr>
        <w:t>את הערותיה של הנשיאה בייניש ומבקשת לדרוש קשר בין העבירה האחרת למעשה ההמתה, קרי, שלא יהיה די בכך שהמעשה ההמתה התבצע במהלך ההכנות או במהלך ביצוע העבירה עצמה. קשר זה מושג אפוא בדרישה כי ההמתה בנסיבות מחמירות תתגבש רק אם מעשה ההמתה בוצע במטרה לאפשר את ביצוע העבירה האחרת, להקל על ביצועה, או להסתיר את ביצוע העבירה האחרת או במטרה  להימלט מהדין לאחר ביצועה.</w:t>
      </w:r>
    </w:p>
    <w:p w:rsidR="00380327" w:rsidRPr="001915FE" w:rsidRDefault="00380327" w:rsidP="00380327">
      <w:pPr>
        <w:pStyle w:val="a4"/>
        <w:spacing w:after="0" w:line="360" w:lineRule="auto"/>
        <w:ind w:left="360"/>
        <w:jc w:val="both"/>
        <w:rPr>
          <w:rFonts w:ascii="David" w:hAnsi="David" w:cs="David"/>
          <w:b/>
          <w:bCs/>
          <w:sz w:val="24"/>
          <w:szCs w:val="24"/>
          <w:highlight w:val="cyan"/>
          <w:rtl/>
        </w:rPr>
      </w:pPr>
    </w:p>
    <w:p w:rsidR="00380327" w:rsidRPr="001915FE" w:rsidRDefault="00380327" w:rsidP="00380327">
      <w:pPr>
        <w:spacing w:line="360" w:lineRule="auto"/>
        <w:jc w:val="both"/>
        <w:rPr>
          <w:rFonts w:ascii="David" w:hAnsi="David" w:cs="David"/>
          <w:sz w:val="24"/>
          <w:szCs w:val="24"/>
          <w:rtl/>
        </w:rPr>
      </w:pPr>
      <w:r w:rsidRPr="001915FE">
        <w:rPr>
          <w:rFonts w:ascii="David" w:hAnsi="David" w:cs="David"/>
          <w:sz w:val="24"/>
          <w:szCs w:val="24"/>
          <w:rtl/>
        </w:rPr>
        <w:t xml:space="preserve">בפסיקה התעוררה השאלה האם נדרש שהעבירה האחרת תהיה </w:t>
      </w:r>
      <w:r w:rsidRPr="00505113">
        <w:rPr>
          <w:rFonts w:ascii="David" w:hAnsi="David" w:cs="David"/>
          <w:b/>
          <w:bCs/>
          <w:sz w:val="24"/>
          <w:szCs w:val="24"/>
          <w:rtl/>
        </w:rPr>
        <w:t>עבירה חמורה</w:t>
      </w:r>
      <w:r>
        <w:rPr>
          <w:rFonts w:ascii="David" w:hAnsi="David" w:cs="David" w:hint="cs"/>
          <w:sz w:val="24"/>
          <w:szCs w:val="24"/>
          <w:rtl/>
        </w:rPr>
        <w:t xml:space="preserve">, בתי המשפט נטו לכך שתידרש עבירה חמורה או עבירה שיש בה סיכון לחיי אדם, </w:t>
      </w:r>
      <w:r w:rsidRPr="001915FE">
        <w:rPr>
          <w:rFonts w:ascii="David" w:hAnsi="David" w:cs="David"/>
          <w:sz w:val="24"/>
          <w:szCs w:val="24"/>
          <w:rtl/>
        </w:rPr>
        <w:t>אך שאלה זו לא הוכרעה, כפי שמציינת הנשיאה בייניש בעניין אבו זייד</w:t>
      </w:r>
      <w:r w:rsidRPr="001915FE">
        <w:rPr>
          <w:rStyle w:val="a7"/>
          <w:rFonts w:ascii="David" w:hAnsi="David" w:cs="David"/>
          <w:sz w:val="24"/>
          <w:szCs w:val="24"/>
          <w:rtl/>
        </w:rPr>
        <w:footnoteReference w:id="6"/>
      </w:r>
      <w:r w:rsidRPr="001915FE">
        <w:rPr>
          <w:rFonts w:ascii="David" w:hAnsi="David" w:cs="David"/>
          <w:sz w:val="24"/>
          <w:szCs w:val="24"/>
          <w:rtl/>
        </w:rPr>
        <w:t>:</w:t>
      </w:r>
    </w:p>
    <w:p w:rsidR="00380327" w:rsidRPr="001915FE" w:rsidRDefault="00380327" w:rsidP="00380327">
      <w:pPr>
        <w:pStyle w:val="Ruller4"/>
        <w:spacing w:before="120" w:line="240" w:lineRule="auto"/>
        <w:ind w:left="562" w:right="562"/>
        <w:rPr>
          <w:rFonts w:ascii="David" w:hAnsi="David" w:cs="David"/>
          <w:b/>
          <w:bCs/>
          <w:sz w:val="24"/>
          <w:szCs w:val="24"/>
          <w:rtl/>
        </w:rPr>
      </w:pPr>
      <w:r w:rsidRPr="001915FE">
        <w:rPr>
          <w:rFonts w:ascii="David" w:hAnsi="David" w:cs="David"/>
          <w:b/>
          <w:bCs/>
          <w:sz w:val="24"/>
          <w:szCs w:val="24"/>
          <w:rtl/>
        </w:rPr>
        <w:t>"....עד כה, המקרים אשר באו בפני בתי המשפט היו מקרים שבהם העבירה האחרת הייתה עבירה חמורה – עבירות שוד, התפרצות וגניבה, ואף הצתה....</w:t>
      </w:r>
    </w:p>
    <w:p w:rsidR="00380327" w:rsidRPr="001915FE" w:rsidRDefault="00380327" w:rsidP="00380327">
      <w:pPr>
        <w:pStyle w:val="Ruller4"/>
        <w:spacing w:before="120" w:line="240" w:lineRule="auto"/>
        <w:ind w:left="562" w:right="562"/>
        <w:rPr>
          <w:rFonts w:ascii="David" w:hAnsi="David" w:cs="David"/>
          <w:b/>
          <w:bCs/>
          <w:sz w:val="24"/>
          <w:szCs w:val="24"/>
          <w:rtl/>
        </w:rPr>
      </w:pPr>
      <w:r w:rsidRPr="001915FE">
        <w:rPr>
          <w:rFonts w:ascii="David" w:hAnsi="David" w:cs="David"/>
          <w:b/>
          <w:bCs/>
          <w:sz w:val="24"/>
          <w:szCs w:val="24"/>
          <w:rtl/>
        </w:rPr>
        <w:t>39.</w:t>
      </w:r>
      <w:r w:rsidRPr="001915FE">
        <w:rPr>
          <w:rFonts w:ascii="David" w:hAnsi="David" w:cs="David"/>
          <w:b/>
          <w:bCs/>
          <w:sz w:val="24"/>
          <w:szCs w:val="24"/>
          <w:rtl/>
        </w:rPr>
        <w:tab/>
        <w:t>באשר לטענת המערער כי על "העבירה האחרת" להיות עבירה חמורה, בעלת מאפיינים טבועים של סיכון לחיי אדם, נציין כי אמנם השאלה האם די על-פי הסעיף בכל "עבירה", ללא מגבלות של סוגה ומידת חומרתה אינה שאלה פשוטה, והיא עלולה בנסיבות מסוימות לעורר בעיות קשות ומורכבות. זאת לנוכח תוצאתה הקשה של הרשעה בעבירת הרצח – החמורה בספר החוקים, המטילה קלון רב, והמחייבת הטלת עונש מאסר עולם חובה, ללא שיקול דעת שיפוטי. במישור המעשי, ייתכן שגרימת מוות לשם הימלטות מעונש, מעצם טיבה תתקיים רק כאשר מ</w:t>
      </w:r>
      <w:smartTag w:uri="urn:schemas-microsoft-com:office:smarttags" w:element="PersonName">
        <w:r w:rsidRPr="001915FE">
          <w:rPr>
            <w:rFonts w:ascii="David" w:hAnsi="David" w:cs="David"/>
            <w:b/>
            <w:bCs/>
            <w:sz w:val="24"/>
            <w:szCs w:val="24"/>
            <w:rtl/>
          </w:rPr>
          <w:t>דובר</w:t>
        </w:r>
      </w:smartTag>
      <w:r w:rsidRPr="001915FE">
        <w:rPr>
          <w:rFonts w:ascii="David" w:hAnsi="David" w:cs="David"/>
          <w:b/>
          <w:bCs/>
          <w:sz w:val="24"/>
          <w:szCs w:val="24"/>
          <w:rtl/>
        </w:rPr>
        <w:t xml:space="preserve"> ב"עבירה אחרת" חמורה, שהעבריין מבקש להימלט מהעונש החמור הצפוי לו בגינה. יהא הדבר אשר יהא, החוק לא הגדיר את העבירה האחרת ואנו איננו נדרשים לגדור את גדריה של "העבירה האחרת" היות ששאלה זו אינה טעונה הכרעה בנסיבות העניין שלפנינו.....".</w:t>
      </w:r>
    </w:p>
    <w:p w:rsidR="00380327" w:rsidRPr="001915FE" w:rsidRDefault="00380327" w:rsidP="00380327">
      <w:pPr>
        <w:spacing w:line="360" w:lineRule="auto"/>
        <w:jc w:val="both"/>
        <w:rPr>
          <w:rFonts w:ascii="David" w:hAnsi="David" w:cs="David"/>
          <w:sz w:val="24"/>
          <w:szCs w:val="24"/>
          <w:rtl/>
        </w:rPr>
      </w:pPr>
      <w:r w:rsidRPr="001915FE">
        <w:rPr>
          <w:rFonts w:ascii="David" w:hAnsi="David" w:cs="David"/>
          <w:sz w:val="24"/>
          <w:szCs w:val="24"/>
          <w:rtl/>
        </w:rPr>
        <w:t xml:space="preserve">כך גם לעניין העבירה האחרת בסעיף 300(א)(3) בתי המשפט לא הכריעו בשאלת מהותה של העבירה האחרת: </w:t>
      </w:r>
    </w:p>
    <w:p w:rsidR="00380327" w:rsidRPr="001915FE" w:rsidRDefault="00380327" w:rsidP="00380327">
      <w:pPr>
        <w:pStyle w:val="Ruller4"/>
        <w:spacing w:before="120" w:line="240" w:lineRule="auto"/>
        <w:ind w:left="562" w:right="562"/>
        <w:rPr>
          <w:rFonts w:ascii="David" w:hAnsi="David" w:cs="David"/>
          <w:b/>
          <w:bCs/>
          <w:sz w:val="24"/>
          <w:szCs w:val="24"/>
          <w:rtl/>
        </w:rPr>
      </w:pPr>
      <w:r w:rsidRPr="001915FE">
        <w:rPr>
          <w:rFonts w:ascii="David" w:hAnsi="David" w:cs="David"/>
          <w:b/>
          <w:bCs/>
          <w:sz w:val="24"/>
          <w:szCs w:val="24"/>
          <w:rtl/>
        </w:rPr>
        <w:t xml:space="preserve">".... לשונו של הסעיף אינה מגדירה מהי אותה "עבירה אחרת" אשר תוך כדי ביצועה או תוך הכנות לביצועה או כדי להקל על ביצועה בוצע מעשה ההמתה. אף הפסיקה טרם ליבנה סוגיה זו. זאת, בין היתר, נוכח אופן הפעלת שיקול דעת התביעה ביחס לעבירה זו, אשר עד כה עשתה בו שימוש רק במקרים בהם הייתה עבירת המקור עבירה חמורה, בעלת מאפיינים של סיכון לחיי אדם, כגון שוד, אינוס והצתה. עבירה שעל-פי אופייה יש בה סיכון לחיי אדם, יש בה גם תמיכה לביסוס היסוד הנפשי הנדרש לביצוע העבירה של גרימת המוות, שכן קיימת מודעות לאפשרות גרימת המוות ולפזיזות ביחס לתוצאה זו כתוצאה מביצוע העבירה האחרת. כמו כן, גם על-פי הניסיון האמפירי, הגישה הרווחת ביחס למהותה של "העבירה האחרת" הדרושה לשם קיום רכיבי היסוד העובדתי של הסעיף, הינה כי מדובר בעבירה מסוג "פשע", המתאפיינת בחומרה יתרה ובסיכון אינהרנטי לחיי אדם ......נראה כי גם בענייננו, אין קושי בקביעת הרכיב של חומרת העבירה, ככל שהוא נדרש...... מכל מקום, אין צורך להכריע בשאלת מהותה של העבירה האחרת בעניין שלפנינו .....". </w:t>
      </w:r>
    </w:p>
    <w:p w:rsidR="00380327" w:rsidRDefault="00380327" w:rsidP="00380327">
      <w:pPr>
        <w:pStyle w:val="a4"/>
        <w:spacing w:after="0" w:line="360" w:lineRule="auto"/>
        <w:jc w:val="both"/>
        <w:rPr>
          <w:rFonts w:ascii="David" w:hAnsi="David" w:cs="David"/>
          <w:b/>
          <w:bCs/>
          <w:spacing w:val="10"/>
          <w:sz w:val="24"/>
          <w:szCs w:val="24"/>
          <w:rtl/>
        </w:rPr>
      </w:pPr>
    </w:p>
    <w:p w:rsidR="00380327" w:rsidRDefault="00380327" w:rsidP="00380327">
      <w:pPr>
        <w:pStyle w:val="a4"/>
        <w:spacing w:after="0" w:line="360" w:lineRule="auto"/>
        <w:jc w:val="both"/>
        <w:rPr>
          <w:rFonts w:ascii="David" w:hAnsi="David" w:cs="David"/>
          <w:b/>
          <w:bCs/>
          <w:spacing w:val="10"/>
          <w:sz w:val="24"/>
          <w:szCs w:val="24"/>
          <w:rtl/>
        </w:rPr>
      </w:pPr>
    </w:p>
    <w:p w:rsidR="00380327" w:rsidRPr="005770E3" w:rsidRDefault="00380327" w:rsidP="00380327">
      <w:pPr>
        <w:pStyle w:val="Ruller4"/>
        <w:rPr>
          <w:rFonts w:cs="David"/>
          <w:sz w:val="24"/>
          <w:szCs w:val="24"/>
          <w:rtl/>
        </w:rPr>
      </w:pPr>
      <w:r w:rsidRPr="005770E3">
        <w:rPr>
          <w:rFonts w:cs="David" w:hint="cs"/>
          <w:sz w:val="24"/>
          <w:szCs w:val="24"/>
          <w:rtl/>
        </w:rPr>
        <w:t xml:space="preserve">לעניין סעיף 300(א)(4) קבעה השופטת ברק ארז בפסה"ד בעניין </w:t>
      </w:r>
      <w:r w:rsidRPr="005770E3">
        <w:rPr>
          <w:rFonts w:cs="David" w:hint="cs"/>
          <w:b/>
          <w:bCs/>
          <w:sz w:val="24"/>
          <w:szCs w:val="24"/>
          <w:rtl/>
        </w:rPr>
        <w:t xml:space="preserve">טמטאוי </w:t>
      </w:r>
      <w:r w:rsidRPr="005770E3">
        <w:rPr>
          <w:rStyle w:val="a7"/>
          <w:rFonts w:cs="David"/>
          <w:sz w:val="24"/>
          <w:szCs w:val="24"/>
          <w:rtl/>
        </w:rPr>
        <w:footnoteReference w:id="7"/>
      </w:r>
      <w:r w:rsidRPr="005770E3">
        <w:rPr>
          <w:rFonts w:cs="David" w:hint="cs"/>
          <w:sz w:val="24"/>
          <w:szCs w:val="24"/>
          <w:rtl/>
        </w:rPr>
        <w:t>כי:</w:t>
      </w:r>
    </w:p>
    <w:p w:rsidR="00380327" w:rsidRPr="00600732" w:rsidRDefault="00380327" w:rsidP="00380327">
      <w:pPr>
        <w:pStyle w:val="Ruller4"/>
        <w:spacing w:line="240" w:lineRule="auto"/>
        <w:ind w:left="720"/>
        <w:rPr>
          <w:rFonts w:ascii="David" w:hAnsi="David" w:cs="David"/>
          <w:b/>
          <w:bCs/>
          <w:sz w:val="24"/>
          <w:szCs w:val="24"/>
          <w:rtl/>
        </w:rPr>
      </w:pPr>
      <w:r w:rsidRPr="00600732">
        <w:rPr>
          <w:rFonts w:ascii="David" w:hAnsi="David" w:cs="David" w:hint="cs"/>
          <w:b/>
          <w:bCs/>
          <w:sz w:val="24"/>
          <w:szCs w:val="24"/>
          <w:rtl/>
        </w:rPr>
        <w:t xml:space="preserve">"אני סבורה אפוא שיש מקום לפרשנות מצמצמת של </w:t>
      </w:r>
      <w:hyperlink r:id="rId8" w:history="1">
        <w:r w:rsidRPr="00600732">
          <w:rPr>
            <w:rFonts w:ascii="David" w:hAnsi="David" w:cs="David"/>
            <w:b/>
            <w:bCs/>
            <w:sz w:val="24"/>
            <w:szCs w:val="24"/>
            <w:rtl/>
          </w:rPr>
          <w:t>סעיף 300(א)(4)</w:t>
        </w:r>
      </w:hyperlink>
      <w:r w:rsidRPr="00600732">
        <w:rPr>
          <w:rFonts w:ascii="David" w:hAnsi="David" w:cs="David" w:hint="cs"/>
          <w:b/>
          <w:bCs/>
          <w:sz w:val="24"/>
          <w:szCs w:val="24"/>
          <w:rtl/>
        </w:rPr>
        <w:t xml:space="preserve"> ל</w:t>
      </w:r>
      <w:hyperlink r:id="rId9" w:history="1">
        <w:r w:rsidRPr="00600732">
          <w:rPr>
            <w:rFonts w:ascii="David" w:hAnsi="David" w:cs="David"/>
            <w:b/>
            <w:bCs/>
            <w:sz w:val="24"/>
            <w:szCs w:val="24"/>
            <w:rtl/>
          </w:rPr>
          <w:t>חוק העונשין</w:t>
        </w:r>
      </w:hyperlink>
      <w:r w:rsidRPr="00600732">
        <w:rPr>
          <w:rFonts w:ascii="David" w:hAnsi="David" w:cs="David" w:hint="cs"/>
          <w:b/>
          <w:bCs/>
          <w:sz w:val="24"/>
          <w:szCs w:val="24"/>
          <w:rtl/>
        </w:rPr>
        <w:t xml:space="preserve"> בשני המישורים הבאים: היסוד הנפשי הנדרש וסוג עבירת המקור שיכולה לשמש בסיס להטלת אחריות בגין רצח, כדלקמן: </w:t>
      </w:r>
    </w:p>
    <w:p w:rsidR="00380327" w:rsidRPr="00600732" w:rsidRDefault="00380327" w:rsidP="00380327">
      <w:pPr>
        <w:pStyle w:val="Ruller4"/>
        <w:spacing w:line="240" w:lineRule="auto"/>
        <w:rPr>
          <w:rFonts w:ascii="David" w:hAnsi="David" w:cs="David"/>
          <w:b/>
          <w:bCs/>
          <w:sz w:val="24"/>
          <w:szCs w:val="24"/>
          <w:rtl/>
        </w:rPr>
      </w:pPr>
    </w:p>
    <w:p w:rsidR="00380327" w:rsidRPr="00600732" w:rsidRDefault="00380327" w:rsidP="00380327">
      <w:pPr>
        <w:pStyle w:val="Ruller4"/>
        <w:spacing w:line="240" w:lineRule="auto"/>
        <w:ind w:left="720"/>
        <w:rPr>
          <w:rFonts w:ascii="David" w:hAnsi="David" w:cs="David"/>
          <w:b/>
          <w:bCs/>
          <w:sz w:val="24"/>
          <w:szCs w:val="24"/>
          <w:rtl/>
        </w:rPr>
      </w:pPr>
      <w:r w:rsidRPr="00600732">
        <w:rPr>
          <w:rFonts w:ascii="David" w:hAnsi="David" w:cs="David" w:hint="cs"/>
          <w:b/>
          <w:bCs/>
          <w:sz w:val="24"/>
          <w:szCs w:val="24"/>
          <w:rtl/>
        </w:rPr>
        <w:t xml:space="preserve">א. </w:t>
      </w:r>
      <w:r w:rsidRPr="00600732">
        <w:rPr>
          <w:rFonts w:ascii="David" w:hAnsi="David" w:cs="David" w:hint="cs"/>
          <w:b/>
          <w:bCs/>
          <w:sz w:val="24"/>
          <w:szCs w:val="24"/>
          <w:rtl/>
        </w:rPr>
        <w:tab/>
        <w:t xml:space="preserve">היסוד הנפשי – יהיה בדרגה של אדישות לגרם התוצאה הקטלנית (להבדיל מקלות דעת גרידא). זאת, בכדי למנוע מצב בו יורשע ברצח אדם אשר לא רק שלא כיוון למותו של קורבנו, אלא אף שאף למנוע מוות זה. יצוין כי המדינה הסכימה למעשה להגבלה פרשנית זו. </w:t>
      </w:r>
    </w:p>
    <w:p w:rsidR="00380327" w:rsidRPr="00600732" w:rsidRDefault="00380327" w:rsidP="00380327">
      <w:pPr>
        <w:pStyle w:val="Ruller4"/>
        <w:spacing w:line="240" w:lineRule="auto"/>
        <w:rPr>
          <w:rFonts w:ascii="David" w:hAnsi="David" w:cs="David"/>
          <w:b/>
          <w:bCs/>
          <w:sz w:val="24"/>
          <w:szCs w:val="24"/>
          <w:rtl/>
        </w:rPr>
      </w:pPr>
    </w:p>
    <w:p w:rsidR="00380327" w:rsidRPr="00600732" w:rsidRDefault="00380327" w:rsidP="00380327">
      <w:pPr>
        <w:pStyle w:val="Ruller4"/>
        <w:spacing w:line="240" w:lineRule="auto"/>
        <w:ind w:left="720"/>
        <w:rPr>
          <w:rFonts w:ascii="David" w:hAnsi="David" w:cs="David"/>
          <w:b/>
          <w:bCs/>
          <w:sz w:val="24"/>
          <w:szCs w:val="24"/>
          <w:rtl/>
        </w:rPr>
      </w:pPr>
      <w:r w:rsidRPr="00600732">
        <w:rPr>
          <w:rFonts w:ascii="David" w:hAnsi="David" w:cs="David" w:hint="cs"/>
          <w:b/>
          <w:bCs/>
          <w:sz w:val="24"/>
          <w:szCs w:val="24"/>
          <w:rtl/>
        </w:rPr>
        <w:t xml:space="preserve">ב. </w:t>
      </w:r>
      <w:r w:rsidRPr="00600732">
        <w:rPr>
          <w:rFonts w:ascii="David" w:hAnsi="David" w:cs="David" w:hint="cs"/>
          <w:b/>
          <w:bCs/>
          <w:sz w:val="24"/>
          <w:szCs w:val="24"/>
          <w:rtl/>
        </w:rPr>
        <w:tab/>
        <w:t>העבירה האחרת (קרי עבירת ה"מקור") – צריכה להיות עבירת פשע הכרוכה באלימות או בסיכון אינהרנטי של חיי אדם.</w:t>
      </w:r>
    </w:p>
    <w:p w:rsidR="00380327" w:rsidRPr="00600732" w:rsidRDefault="00380327" w:rsidP="00380327">
      <w:pPr>
        <w:pStyle w:val="Ruller4"/>
        <w:spacing w:line="240" w:lineRule="auto"/>
        <w:rPr>
          <w:rFonts w:ascii="David" w:hAnsi="David" w:cs="David"/>
          <w:b/>
          <w:bCs/>
          <w:sz w:val="24"/>
          <w:szCs w:val="24"/>
          <w:rtl/>
        </w:rPr>
      </w:pPr>
    </w:p>
    <w:p w:rsidR="00380327" w:rsidRPr="00600732" w:rsidRDefault="00380327" w:rsidP="00380327">
      <w:pPr>
        <w:pStyle w:val="Ruller4"/>
        <w:spacing w:line="240" w:lineRule="auto"/>
        <w:ind w:left="720"/>
        <w:rPr>
          <w:rFonts w:ascii="David" w:hAnsi="David" w:cs="David"/>
          <w:b/>
          <w:bCs/>
          <w:sz w:val="24"/>
          <w:szCs w:val="24"/>
          <w:rtl/>
        </w:rPr>
      </w:pPr>
      <w:r w:rsidRPr="00600732">
        <w:rPr>
          <w:rFonts w:ascii="David" w:hAnsi="David" w:cs="David" w:hint="cs"/>
          <w:b/>
          <w:bCs/>
          <w:sz w:val="24"/>
          <w:szCs w:val="24"/>
          <w:rtl/>
        </w:rPr>
        <w:t>86.</w:t>
      </w:r>
      <w:r w:rsidRPr="00600732">
        <w:rPr>
          <w:rFonts w:ascii="David" w:hAnsi="David" w:cs="David" w:hint="cs"/>
          <w:b/>
          <w:bCs/>
          <w:sz w:val="24"/>
          <w:szCs w:val="24"/>
          <w:rtl/>
        </w:rPr>
        <w:tab/>
        <w:t xml:space="preserve">.... המקרים שבהם הורשעו נאשמים בעבירה זו היו בעיקרו של דבר כאלה שבהם ה"עבירה האחרת" הייתה כזו שלה יסוד בולט ואינהרנטי של אלימות או סיכון חיים. המדינה לא הצליחה להראות כי אפילו במקרה אחד הורשע אדם ברצח לפי הסעיף הנדון כאשר ה"עבירה האחרת" לא הייתה עבירה אלימה או מסכנת חיים. קל וחומר שהיא לא הצליחה להראות כי זו הפרשנות שהתקבלה בפסיקה. הפרשנות שאותה אציע לחברי לקבל מבטיחה כי השימוש בסעיף זה לא יורחב לעבר מחוזות חדשים ובלתי ראויים, וכי הוא ייעשה בהתאם לעקרונות החוקתיים הנהוגים בשיטתנו. </w:t>
      </w:r>
    </w:p>
    <w:p w:rsidR="00380327" w:rsidRPr="00600732" w:rsidRDefault="00380327" w:rsidP="00380327">
      <w:pPr>
        <w:pStyle w:val="Ruller4"/>
        <w:spacing w:line="240" w:lineRule="auto"/>
        <w:rPr>
          <w:rFonts w:ascii="David" w:hAnsi="David" w:cs="David"/>
          <w:b/>
          <w:bCs/>
          <w:sz w:val="24"/>
          <w:szCs w:val="24"/>
          <w:rtl/>
        </w:rPr>
      </w:pPr>
    </w:p>
    <w:p w:rsidR="00380327" w:rsidRPr="00600732" w:rsidRDefault="00380327" w:rsidP="00380327">
      <w:pPr>
        <w:pStyle w:val="Ruller4"/>
        <w:spacing w:line="240" w:lineRule="auto"/>
        <w:ind w:left="720"/>
        <w:rPr>
          <w:rFonts w:ascii="David" w:hAnsi="David" w:cs="David"/>
          <w:b/>
          <w:bCs/>
          <w:sz w:val="24"/>
          <w:szCs w:val="24"/>
          <w:rtl/>
        </w:rPr>
      </w:pPr>
      <w:r w:rsidRPr="00600732">
        <w:rPr>
          <w:rFonts w:ascii="David" w:hAnsi="David" w:cs="David" w:hint="cs"/>
          <w:b/>
          <w:bCs/>
          <w:sz w:val="24"/>
          <w:szCs w:val="24"/>
          <w:rtl/>
        </w:rPr>
        <w:t xml:space="preserve">87. </w:t>
      </w:r>
      <w:r w:rsidRPr="00600732">
        <w:rPr>
          <w:rFonts w:ascii="David" w:hAnsi="David" w:cs="David" w:hint="cs"/>
          <w:b/>
          <w:bCs/>
          <w:sz w:val="24"/>
          <w:szCs w:val="24"/>
          <w:rtl/>
        </w:rPr>
        <w:tab/>
        <w:t xml:space="preserve">במאמר מוסגר אציין כי לכאורה המסקנות שאליהן הגענו בהתייחס </w:t>
      </w:r>
      <w:hyperlink r:id="rId10" w:history="1">
        <w:r w:rsidRPr="00600732">
          <w:rPr>
            <w:rFonts w:ascii="David" w:hAnsi="David" w:cs="David"/>
            <w:b/>
            <w:bCs/>
            <w:sz w:val="24"/>
            <w:szCs w:val="24"/>
            <w:rtl/>
          </w:rPr>
          <w:t>לסעיף 300(א)(4)</w:t>
        </w:r>
      </w:hyperlink>
      <w:r w:rsidRPr="00600732">
        <w:rPr>
          <w:rFonts w:ascii="David" w:hAnsi="David" w:cs="David" w:hint="cs"/>
          <w:b/>
          <w:bCs/>
          <w:sz w:val="24"/>
          <w:szCs w:val="24"/>
          <w:rtl/>
        </w:rPr>
        <w:t xml:space="preserve"> ל</w:t>
      </w:r>
      <w:hyperlink r:id="rId11" w:history="1">
        <w:r w:rsidRPr="00600732">
          <w:rPr>
            <w:rFonts w:ascii="David" w:hAnsi="David" w:cs="David"/>
            <w:b/>
            <w:bCs/>
            <w:sz w:val="24"/>
            <w:szCs w:val="24"/>
            <w:rtl/>
          </w:rPr>
          <w:t>חוק העונשין</w:t>
        </w:r>
      </w:hyperlink>
      <w:r w:rsidRPr="00600732">
        <w:rPr>
          <w:rFonts w:ascii="David" w:hAnsi="David" w:cs="David" w:hint="cs"/>
          <w:b/>
          <w:bCs/>
          <w:sz w:val="24"/>
          <w:szCs w:val="24"/>
          <w:rtl/>
        </w:rPr>
        <w:t xml:space="preserve"> עשויות לחול גם על פרשנותו של </w:t>
      </w:r>
      <w:hyperlink r:id="rId12" w:history="1">
        <w:r w:rsidRPr="00600732">
          <w:rPr>
            <w:rFonts w:ascii="David" w:hAnsi="David" w:cs="David"/>
            <w:b/>
            <w:bCs/>
            <w:sz w:val="24"/>
            <w:szCs w:val="24"/>
            <w:rtl/>
          </w:rPr>
          <w:t>סעיף 300(א)(3)</w:t>
        </w:r>
      </w:hyperlink>
      <w:r w:rsidRPr="00600732">
        <w:rPr>
          <w:rFonts w:ascii="David" w:hAnsi="David" w:cs="David" w:hint="cs"/>
          <w:b/>
          <w:bCs/>
          <w:sz w:val="24"/>
          <w:szCs w:val="24"/>
          <w:rtl/>
        </w:rPr>
        <w:t xml:space="preserve"> שמעורר שאלה פרשנית דומה לגבי מי שגרם למותו של אדם תוך כדי ביצוע עבירה או כדי להקל על ביצועה. בשני המקרים המדובר בהוראות שמטילות אחריות בדרגה הגבוהה ביותר המוכרת במשפט הפלילי על מי שגרם למותו של אדם בהקשר עברייני של ביצוע עבירה או הימלטות ממנה.</w:t>
      </w:r>
      <w:r>
        <w:rPr>
          <w:rFonts w:ascii="David" w:hAnsi="David" w:cs="David" w:hint="cs"/>
          <w:b/>
          <w:bCs/>
          <w:sz w:val="24"/>
          <w:szCs w:val="24"/>
          <w:rtl/>
        </w:rPr>
        <w:t xml:space="preserve"> </w:t>
      </w:r>
      <w:r w:rsidRPr="00600732">
        <w:rPr>
          <w:rFonts w:ascii="David" w:hAnsi="David" w:cs="David" w:hint="cs"/>
          <w:b/>
          <w:bCs/>
          <w:sz w:val="24"/>
          <w:szCs w:val="24"/>
          <w:rtl/>
        </w:rPr>
        <w:t xml:space="preserve">ההכרעה בכל הנוגע לפרשנותו של </w:t>
      </w:r>
      <w:hyperlink r:id="rId13" w:history="1">
        <w:r w:rsidRPr="00600732">
          <w:rPr>
            <w:rFonts w:ascii="David" w:hAnsi="David" w:cs="David"/>
            <w:b/>
            <w:bCs/>
            <w:sz w:val="24"/>
            <w:szCs w:val="24"/>
            <w:rtl/>
          </w:rPr>
          <w:t>סעיף 300(א)(3)</w:t>
        </w:r>
      </w:hyperlink>
      <w:r w:rsidRPr="00600732">
        <w:rPr>
          <w:rFonts w:ascii="David" w:hAnsi="David" w:cs="David" w:hint="cs"/>
          <w:b/>
          <w:bCs/>
          <w:sz w:val="24"/>
          <w:szCs w:val="24"/>
          <w:rtl/>
        </w:rPr>
        <w:t xml:space="preserve"> אינה נדרשת בענייננו, ולכן נותירה בצריך עיון." </w:t>
      </w:r>
    </w:p>
    <w:p w:rsidR="00380327" w:rsidRPr="001915FE" w:rsidRDefault="00380327" w:rsidP="00380327">
      <w:pPr>
        <w:pStyle w:val="a4"/>
        <w:spacing w:after="0" w:line="360" w:lineRule="auto"/>
        <w:jc w:val="both"/>
        <w:rPr>
          <w:rFonts w:ascii="David" w:hAnsi="David" w:cs="David"/>
          <w:b/>
          <w:bCs/>
          <w:spacing w:val="10"/>
          <w:sz w:val="24"/>
          <w:szCs w:val="24"/>
          <w:rtl/>
        </w:rPr>
      </w:pPr>
    </w:p>
    <w:p w:rsidR="00380327" w:rsidRPr="007452A3" w:rsidRDefault="00380327" w:rsidP="00380327">
      <w:pPr>
        <w:spacing w:after="0" w:line="360" w:lineRule="auto"/>
        <w:jc w:val="both"/>
        <w:rPr>
          <w:rFonts w:ascii="David" w:hAnsi="David" w:cs="David"/>
          <w:b/>
          <w:bCs/>
          <w:sz w:val="24"/>
          <w:szCs w:val="24"/>
          <w:rtl/>
        </w:rPr>
      </w:pPr>
      <w:r w:rsidRPr="007452A3">
        <w:rPr>
          <w:rFonts w:ascii="David" w:hAnsi="David" w:cs="David" w:hint="cs"/>
          <w:b/>
          <w:bCs/>
          <w:sz w:val="24"/>
          <w:szCs w:val="24"/>
          <w:rtl/>
        </w:rPr>
        <w:t>סוגיות לדיון</w:t>
      </w:r>
    </w:p>
    <w:p w:rsidR="00380327" w:rsidRPr="007452A3" w:rsidRDefault="00380327" w:rsidP="00380327">
      <w:pPr>
        <w:spacing w:after="0" w:line="360" w:lineRule="auto"/>
        <w:jc w:val="both"/>
        <w:rPr>
          <w:rFonts w:ascii="David" w:hAnsi="David" w:cs="David"/>
          <w:sz w:val="24"/>
          <w:szCs w:val="24"/>
          <w:rtl/>
        </w:rPr>
      </w:pPr>
      <w:r w:rsidRPr="007452A3">
        <w:rPr>
          <w:rFonts w:ascii="David" w:hAnsi="David" w:cs="David"/>
          <w:sz w:val="24"/>
          <w:szCs w:val="24"/>
          <w:rtl/>
        </w:rPr>
        <w:t xml:space="preserve">מוצע לדון בשאלה, האם בהכרח עבירת המתה המבוצעת במטרה לאפשר או להקל על ביצוע עבירה אחרת או להימלט מהדין חמורה יותר מכל עבירת רצח? </w:t>
      </w:r>
      <w:r w:rsidRPr="007452A3">
        <w:rPr>
          <w:rFonts w:ascii="David" w:hAnsi="David" w:cs="David" w:hint="cs"/>
          <w:sz w:val="24"/>
          <w:szCs w:val="24"/>
          <w:rtl/>
        </w:rPr>
        <w:t>מוצע לדון בהצדקה לכך.</w:t>
      </w:r>
    </w:p>
    <w:p w:rsidR="00380327" w:rsidRPr="007452A3" w:rsidRDefault="00380327" w:rsidP="00380327">
      <w:pPr>
        <w:spacing w:after="0" w:line="360" w:lineRule="auto"/>
        <w:jc w:val="both"/>
        <w:rPr>
          <w:rFonts w:ascii="David" w:hAnsi="David" w:cs="David"/>
          <w:sz w:val="24"/>
          <w:szCs w:val="24"/>
          <w:rtl/>
        </w:rPr>
      </w:pPr>
      <w:r w:rsidRPr="007452A3">
        <w:rPr>
          <w:rFonts w:ascii="David" w:hAnsi="David" w:cs="David"/>
          <w:sz w:val="24"/>
          <w:szCs w:val="24"/>
          <w:rtl/>
        </w:rPr>
        <w:t xml:space="preserve">בנוסף, מוצע לדון בשאלת מהותה של העבירה האחרת, האם יש לדרוש שהעבירה האחרת תהיה חמורה כדי לגבש את הנסיבה המחמירה? </w:t>
      </w:r>
      <w:r w:rsidRPr="007452A3">
        <w:rPr>
          <w:rFonts w:ascii="David" w:hAnsi="David" w:cs="David" w:hint="cs"/>
          <w:sz w:val="24"/>
          <w:szCs w:val="24"/>
          <w:rtl/>
        </w:rPr>
        <w:t>מחד</w:t>
      </w:r>
      <w:r w:rsidRPr="007452A3">
        <w:rPr>
          <w:rFonts w:ascii="David" w:hAnsi="David" w:cs="David"/>
          <w:sz w:val="24"/>
          <w:szCs w:val="24"/>
          <w:rtl/>
        </w:rPr>
        <w:t>, המטרה היא להרתיע את מי שבמצע כל עבירה ונתקל בקשיים, מלהסלים את המצב ולהמית אדם.</w:t>
      </w:r>
      <w:r w:rsidRPr="007452A3">
        <w:rPr>
          <w:rFonts w:ascii="David" w:hAnsi="David" w:cs="David" w:hint="cs"/>
          <w:sz w:val="24"/>
          <w:szCs w:val="24"/>
          <w:rtl/>
        </w:rPr>
        <w:t xml:space="preserve"> מאידך, אם אדם מבצע עבירה שאין בה סיכון לחיי אדם והוא לא צפה </w:t>
      </w:r>
      <w:r>
        <w:rPr>
          <w:rFonts w:ascii="David" w:hAnsi="David" w:cs="David" w:hint="cs"/>
          <w:sz w:val="24"/>
          <w:szCs w:val="24"/>
          <w:rtl/>
        </w:rPr>
        <w:t>מראש בטרם תחילת ביצוע העבירה האחרת ש</w:t>
      </w:r>
      <w:r w:rsidRPr="007452A3">
        <w:rPr>
          <w:rFonts w:ascii="David" w:hAnsi="David" w:cs="David" w:hint="cs"/>
          <w:sz w:val="24"/>
          <w:szCs w:val="24"/>
          <w:rtl/>
        </w:rPr>
        <w:t>ביצוע</w:t>
      </w:r>
      <w:r>
        <w:rPr>
          <w:rFonts w:ascii="David" w:hAnsi="David" w:cs="David" w:hint="cs"/>
          <w:sz w:val="24"/>
          <w:szCs w:val="24"/>
          <w:rtl/>
        </w:rPr>
        <w:t>ה</w:t>
      </w:r>
      <w:r w:rsidRPr="007452A3">
        <w:rPr>
          <w:rFonts w:ascii="David" w:hAnsi="David" w:cs="David" w:hint="cs"/>
          <w:sz w:val="24"/>
          <w:szCs w:val="24"/>
          <w:rtl/>
        </w:rPr>
        <w:t xml:space="preserve"> יכול להוביל בסופו של דבר לביצוע רצח, האם אשמתו המוסרית חמורה יותר מבכל רצח אחר?</w:t>
      </w:r>
    </w:p>
    <w:p w:rsidR="00380327" w:rsidRPr="007452A3" w:rsidRDefault="00380327" w:rsidP="00380327">
      <w:pPr>
        <w:spacing w:after="0" w:line="360" w:lineRule="auto"/>
        <w:jc w:val="both"/>
        <w:rPr>
          <w:rFonts w:ascii="David" w:hAnsi="David" w:cs="David" w:hint="cs"/>
          <w:sz w:val="24"/>
          <w:szCs w:val="24"/>
          <w:rtl/>
        </w:rPr>
      </w:pPr>
      <w:r w:rsidRPr="007452A3">
        <w:rPr>
          <w:rFonts w:ascii="David" w:hAnsi="David" w:cs="David" w:hint="cs"/>
          <w:sz w:val="24"/>
          <w:szCs w:val="24"/>
          <w:rtl/>
        </w:rPr>
        <w:t>כמו כן, מוצע לדון בנוסח הנסיבה המחמירה.</w:t>
      </w:r>
    </w:p>
    <w:p w:rsidR="00380327" w:rsidRDefault="00380327" w:rsidP="00380327">
      <w:pPr>
        <w:pStyle w:val="a4"/>
        <w:spacing w:after="0" w:line="360" w:lineRule="auto"/>
        <w:ind w:left="360"/>
        <w:jc w:val="both"/>
        <w:rPr>
          <w:rFonts w:ascii="David" w:hAnsi="David" w:cs="David"/>
          <w:sz w:val="24"/>
          <w:szCs w:val="24"/>
          <w:rtl/>
        </w:rPr>
      </w:pPr>
    </w:p>
    <w:p w:rsidR="00380327" w:rsidRPr="001915FE" w:rsidRDefault="00380327" w:rsidP="00380327">
      <w:pPr>
        <w:pStyle w:val="a4"/>
        <w:numPr>
          <w:ilvl w:val="0"/>
          <w:numId w:val="3"/>
        </w:numPr>
        <w:spacing w:after="0" w:line="360" w:lineRule="auto"/>
        <w:jc w:val="both"/>
        <w:rPr>
          <w:rFonts w:ascii="David" w:hAnsi="David" w:cs="David"/>
          <w:b/>
          <w:bCs/>
          <w:sz w:val="24"/>
          <w:szCs w:val="24"/>
        </w:rPr>
      </w:pPr>
      <w:r w:rsidRPr="001915FE">
        <w:rPr>
          <w:rFonts w:ascii="David" w:hAnsi="David" w:cs="David"/>
          <w:b/>
          <w:bCs/>
          <w:sz w:val="24"/>
          <w:szCs w:val="24"/>
          <w:rtl/>
        </w:rPr>
        <w:t>הקורבן היה עד במשפט פלילי או היה צפוי למסור עדות במשפט פלילי והמעשה נעשה  במטרה למנוע או להכשיל חקירה או הליך משפטי.</w:t>
      </w:r>
    </w:p>
    <w:p w:rsidR="00380327" w:rsidRPr="001915FE" w:rsidRDefault="00380327" w:rsidP="00380327">
      <w:pPr>
        <w:spacing w:after="0" w:line="360" w:lineRule="auto"/>
        <w:jc w:val="both"/>
        <w:rPr>
          <w:rFonts w:ascii="David" w:hAnsi="David" w:cs="David"/>
          <w:sz w:val="24"/>
          <w:szCs w:val="24"/>
          <w:rtl/>
        </w:rPr>
      </w:pPr>
      <w:r w:rsidRPr="001915FE">
        <w:rPr>
          <w:rFonts w:ascii="David" w:hAnsi="David" w:cs="David"/>
          <w:sz w:val="24"/>
          <w:szCs w:val="24"/>
          <w:rtl/>
        </w:rPr>
        <w:t xml:space="preserve">לפי דברי ההסבר, מוצע לקבוע נסיבה מחמירה זו מאחר שמעשה המתה של עד בהליכים פליליים עלול להרתיע עדים מלהעיד וגם קורא תיגר על יציבות שלטון החוק ועלול לפגוע במערכת המשפט ובשלטון החוק. כמו כן, נלווית לפגיעה בערך המוגן של חיי אדם גם פגיעה קשה בערך המוגן של סדרי השלטון והמשפט. </w:t>
      </w:r>
    </w:p>
    <w:p w:rsidR="00380327" w:rsidRDefault="00380327" w:rsidP="00380327">
      <w:pPr>
        <w:spacing w:after="0" w:line="360" w:lineRule="auto"/>
        <w:jc w:val="both"/>
        <w:rPr>
          <w:rFonts w:ascii="David" w:hAnsi="David" w:cs="David"/>
          <w:sz w:val="24"/>
          <w:szCs w:val="24"/>
          <w:rtl/>
        </w:rPr>
      </w:pPr>
      <w:r w:rsidRPr="001915FE">
        <w:rPr>
          <w:rFonts w:ascii="David" w:hAnsi="David" w:cs="David"/>
          <w:sz w:val="24"/>
          <w:szCs w:val="24"/>
          <w:rtl/>
        </w:rPr>
        <w:t>מוצע לדון בקביעת נסיבה מחמירה זו</w:t>
      </w:r>
      <w:r>
        <w:rPr>
          <w:rFonts w:ascii="David" w:hAnsi="David" w:cs="David" w:hint="cs"/>
          <w:sz w:val="24"/>
          <w:szCs w:val="24"/>
          <w:rtl/>
        </w:rPr>
        <w:t>. ו</w:t>
      </w:r>
      <w:r w:rsidRPr="001915FE">
        <w:rPr>
          <w:rFonts w:ascii="David" w:hAnsi="David" w:cs="David"/>
          <w:sz w:val="24"/>
          <w:szCs w:val="24"/>
          <w:rtl/>
        </w:rPr>
        <w:t>כן, לדון בשאלה האם יש צורך לציין נסיבה זו בנפרד והאם מקרה זה אינו למעשה מקרה פרטני של הנסיבה הראשונה</w:t>
      </w:r>
      <w:r>
        <w:rPr>
          <w:rFonts w:ascii="David" w:hAnsi="David" w:cs="David" w:hint="cs"/>
          <w:sz w:val="24"/>
          <w:szCs w:val="24"/>
          <w:rtl/>
        </w:rPr>
        <w:t xml:space="preserve"> (שכן, הוא נכנס</w:t>
      </w:r>
      <w:r w:rsidRPr="001915FE">
        <w:rPr>
          <w:rFonts w:ascii="David" w:hAnsi="David" w:cs="David"/>
          <w:sz w:val="24"/>
          <w:szCs w:val="24"/>
          <w:rtl/>
        </w:rPr>
        <w:t xml:space="preserve"> במסגרת הנסיבה הראשונה של מעשה לאחר תכנון </w:t>
      </w:r>
      <w:r>
        <w:rPr>
          <w:rFonts w:ascii="David" w:hAnsi="David" w:cs="David" w:hint="cs"/>
          <w:sz w:val="24"/>
          <w:szCs w:val="24"/>
          <w:rtl/>
        </w:rPr>
        <w:t xml:space="preserve">ושקילה </w:t>
      </w:r>
      <w:r w:rsidRPr="001915FE">
        <w:rPr>
          <w:rFonts w:ascii="David" w:hAnsi="David" w:cs="David"/>
          <w:sz w:val="24"/>
          <w:szCs w:val="24"/>
          <w:rtl/>
        </w:rPr>
        <w:t>בכל מקרה</w:t>
      </w:r>
      <w:r>
        <w:rPr>
          <w:rFonts w:ascii="David" w:hAnsi="David" w:cs="David" w:hint="cs"/>
          <w:sz w:val="24"/>
          <w:szCs w:val="24"/>
          <w:rtl/>
        </w:rPr>
        <w:t>)</w:t>
      </w:r>
      <w:r w:rsidRPr="001915FE">
        <w:rPr>
          <w:rFonts w:ascii="David" w:hAnsi="David" w:cs="David"/>
          <w:sz w:val="24"/>
          <w:szCs w:val="24"/>
          <w:rtl/>
        </w:rPr>
        <w:t xml:space="preserve">? </w:t>
      </w:r>
    </w:p>
    <w:p w:rsidR="00380327" w:rsidRDefault="00380327" w:rsidP="00380327">
      <w:pPr>
        <w:spacing w:after="0" w:line="360" w:lineRule="auto"/>
        <w:jc w:val="both"/>
        <w:rPr>
          <w:rFonts w:ascii="David" w:hAnsi="David" w:cs="David"/>
          <w:sz w:val="24"/>
          <w:szCs w:val="24"/>
          <w:rtl/>
        </w:rPr>
      </w:pPr>
    </w:p>
    <w:p w:rsidR="00380327" w:rsidRPr="001915FE" w:rsidRDefault="00380327" w:rsidP="00380327">
      <w:pPr>
        <w:pStyle w:val="a4"/>
        <w:numPr>
          <w:ilvl w:val="0"/>
          <w:numId w:val="3"/>
        </w:numPr>
        <w:spacing w:before="120" w:line="360" w:lineRule="auto"/>
        <w:jc w:val="both"/>
        <w:rPr>
          <w:rFonts w:ascii="David" w:hAnsi="David" w:cs="David"/>
          <w:b/>
          <w:bCs/>
          <w:sz w:val="24"/>
          <w:szCs w:val="24"/>
        </w:rPr>
      </w:pPr>
      <w:r w:rsidRPr="001915FE">
        <w:rPr>
          <w:rFonts w:ascii="David" w:hAnsi="David" w:cs="David"/>
          <w:b/>
          <w:bCs/>
          <w:sz w:val="24"/>
          <w:szCs w:val="24"/>
          <w:rtl/>
        </w:rPr>
        <w:t>המעשה נעשה במטרה לעורר פחד או בהלה בציבור או במטרה להניע ממשלה או רשות שלטונית אחרת, לרבות ממשלה או רשות שלטונית של מדינה זרה או ארגון ציבורי בין-לאומי, לעשות מעשה או להימנע מעשיית מעשה;</w:t>
      </w:r>
    </w:p>
    <w:p w:rsidR="00380327" w:rsidRDefault="00380327" w:rsidP="00380327">
      <w:pPr>
        <w:spacing w:after="0" w:line="360" w:lineRule="auto"/>
        <w:jc w:val="both"/>
        <w:rPr>
          <w:rFonts w:ascii="David" w:hAnsi="David" w:cs="David"/>
          <w:sz w:val="24"/>
          <w:szCs w:val="24"/>
          <w:rtl/>
        </w:rPr>
      </w:pPr>
      <w:r w:rsidRPr="001915FE">
        <w:rPr>
          <w:rFonts w:ascii="David" w:hAnsi="David" w:cs="David"/>
          <w:sz w:val="24"/>
          <w:szCs w:val="24"/>
          <w:rtl/>
        </w:rPr>
        <w:t xml:space="preserve">מוצע לקבוע כנסיבה מחמירה רצח שבוצע במטרה לעורר פחד או בהלה או להניע ממשלה או רשות אחרת, ובמילים אחרות - במטרה טרוריסטית (גם אם לא בוצעה במסגרת ארגון טרור, לכך יוחדה נסיבה מחמירה  נפרדת). בהתאם להצעה, גם מעשה של יחיד, שלא במסגרת פעילות של ארגון טרור, הוא בעל חומרה מיוחדת בשל הפוטנציאל הטמון בו להשלכות ציבוריות רחבות וקשות ולפיכך, מצדיק את ביסוסו כנסיבה מחמירה. </w:t>
      </w:r>
    </w:p>
    <w:p w:rsidR="00380327" w:rsidRPr="001915FE" w:rsidRDefault="00380327" w:rsidP="00380327">
      <w:pPr>
        <w:spacing w:after="0" w:line="360" w:lineRule="auto"/>
        <w:jc w:val="both"/>
        <w:rPr>
          <w:rFonts w:ascii="David" w:hAnsi="David" w:cs="David"/>
          <w:sz w:val="24"/>
          <w:szCs w:val="24"/>
          <w:rtl/>
        </w:rPr>
      </w:pPr>
    </w:p>
    <w:p w:rsidR="00380327" w:rsidRPr="001915FE" w:rsidRDefault="00380327" w:rsidP="00380327">
      <w:pPr>
        <w:spacing w:after="0" w:line="360" w:lineRule="auto"/>
        <w:jc w:val="both"/>
        <w:rPr>
          <w:rFonts w:ascii="David" w:hAnsi="David" w:cs="David"/>
          <w:sz w:val="24"/>
          <w:szCs w:val="24"/>
          <w:rtl/>
        </w:rPr>
      </w:pPr>
      <w:r w:rsidRPr="001915FE">
        <w:rPr>
          <w:rFonts w:ascii="David" w:hAnsi="David" w:cs="David"/>
          <w:sz w:val="24"/>
          <w:szCs w:val="24"/>
          <w:rtl/>
        </w:rPr>
        <w:t>מוצע לדון בהצדקה להפריד בין שתי הנסיבות</w:t>
      </w:r>
      <w:r>
        <w:rPr>
          <w:rFonts w:ascii="David" w:hAnsi="David" w:cs="David" w:hint="cs"/>
          <w:sz w:val="24"/>
          <w:szCs w:val="24"/>
          <w:rtl/>
        </w:rPr>
        <w:t>,</w:t>
      </w:r>
      <w:r w:rsidRPr="001915FE">
        <w:rPr>
          <w:rFonts w:ascii="David" w:hAnsi="David" w:cs="David"/>
          <w:sz w:val="24"/>
          <w:szCs w:val="24"/>
          <w:rtl/>
        </w:rPr>
        <w:t xml:space="preserve"> </w:t>
      </w:r>
      <w:r>
        <w:rPr>
          <w:rFonts w:ascii="David" w:hAnsi="David" w:cs="David" w:hint="cs"/>
          <w:sz w:val="24"/>
          <w:szCs w:val="24"/>
          <w:rtl/>
        </w:rPr>
        <w:t xml:space="preserve">זו </w:t>
      </w:r>
      <w:r w:rsidRPr="001915FE">
        <w:rPr>
          <w:rFonts w:ascii="David" w:hAnsi="David" w:cs="David"/>
          <w:sz w:val="24"/>
          <w:szCs w:val="24"/>
          <w:rtl/>
        </w:rPr>
        <w:t xml:space="preserve">של מטרה טרוריסטית </w:t>
      </w:r>
      <w:r>
        <w:rPr>
          <w:rFonts w:ascii="David" w:hAnsi="David" w:cs="David" w:hint="cs"/>
          <w:sz w:val="24"/>
          <w:szCs w:val="24"/>
          <w:rtl/>
        </w:rPr>
        <w:t>כאמור וזו של רצח במ</w:t>
      </w:r>
      <w:r>
        <w:rPr>
          <w:rFonts w:ascii="David" w:hAnsi="David" w:cs="David"/>
          <w:sz w:val="24"/>
          <w:szCs w:val="24"/>
          <w:rtl/>
        </w:rPr>
        <w:t>סגרת פעילות של ארגון טרור</w:t>
      </w:r>
      <w:r>
        <w:rPr>
          <w:rFonts w:ascii="David" w:hAnsi="David" w:cs="David" w:hint="cs"/>
          <w:sz w:val="24"/>
          <w:szCs w:val="24"/>
          <w:rtl/>
        </w:rPr>
        <w:t>.</w:t>
      </w:r>
    </w:p>
    <w:p w:rsidR="00380327" w:rsidRDefault="00380327" w:rsidP="00380327">
      <w:pPr>
        <w:spacing w:after="0" w:line="360" w:lineRule="auto"/>
        <w:jc w:val="both"/>
        <w:rPr>
          <w:rFonts w:ascii="David" w:hAnsi="David" w:cs="David" w:hint="cs"/>
          <w:sz w:val="24"/>
          <w:szCs w:val="24"/>
          <w:rtl/>
        </w:rPr>
      </w:pPr>
      <w:r w:rsidRPr="001915FE">
        <w:rPr>
          <w:rFonts w:ascii="David" w:hAnsi="David" w:cs="David"/>
          <w:sz w:val="24"/>
          <w:szCs w:val="24"/>
          <w:rtl/>
        </w:rPr>
        <w:t>מוצע לדון בשינוי וחידוד הנוסח לעניין הנעת ממשלה ולהבהיר שמדובר על אילוץ ממשלה או רשות שלטונית אחרת. נוסח הסעיף המוצע מבוסס על פסקה (2) להגדרת מעשה טרור כפי שהוצע בהצעת חוק המאבק בטרור, התשע"ה–2015. נוסח זה שונה במקצת במהלך חקיקת חוק המאבק בטרור, התשע"ו–2016, ומוצע ל</w:t>
      </w:r>
      <w:r>
        <w:rPr>
          <w:rFonts w:ascii="David" w:hAnsi="David" w:cs="David" w:hint="cs"/>
          <w:sz w:val="24"/>
          <w:szCs w:val="24"/>
          <w:rtl/>
        </w:rPr>
        <w:t>התאים את הנסיבה להגדרת מעשה טרור בחוק המאבק בטרור, התשע"ו</w:t>
      </w:r>
      <w:r>
        <w:rPr>
          <w:rFonts w:ascii="David" w:hAnsi="David" w:cs="David" w:hint="eastAsia"/>
          <w:sz w:val="24"/>
          <w:szCs w:val="24"/>
          <w:rtl/>
        </w:rPr>
        <w:t>–</w:t>
      </w:r>
      <w:r>
        <w:rPr>
          <w:rFonts w:ascii="David" w:hAnsi="David" w:cs="David" w:hint="cs"/>
          <w:sz w:val="24"/>
          <w:szCs w:val="24"/>
          <w:rtl/>
        </w:rPr>
        <w:t xml:space="preserve">2016, </w:t>
      </w:r>
      <w:r w:rsidRPr="001915FE">
        <w:rPr>
          <w:rFonts w:ascii="David" w:hAnsi="David" w:cs="David"/>
          <w:sz w:val="24"/>
          <w:szCs w:val="24"/>
          <w:rtl/>
        </w:rPr>
        <w:t>ולקבוע שהמעשה נעשה במטרה לאלץ ממשלה או רשות שלטונית אחרת</w:t>
      </w:r>
      <w:r>
        <w:rPr>
          <w:rFonts w:ascii="David" w:hAnsi="David" w:cs="David" w:hint="cs"/>
          <w:sz w:val="24"/>
          <w:szCs w:val="24"/>
          <w:rtl/>
        </w:rPr>
        <w:t>. כך גם מוצע לקבוע שהמעשה נעשה מתוך מניע דתי, לאומני או אידאולוגי כפי שנקבע בחוק זה.</w:t>
      </w:r>
    </w:p>
    <w:p w:rsidR="00380327" w:rsidRPr="001915FE" w:rsidRDefault="00380327" w:rsidP="00380327">
      <w:pPr>
        <w:spacing w:after="0" w:line="360" w:lineRule="auto"/>
        <w:jc w:val="both"/>
        <w:rPr>
          <w:rFonts w:ascii="David" w:hAnsi="David" w:cs="David"/>
          <w:sz w:val="24"/>
          <w:szCs w:val="24"/>
          <w:rtl/>
        </w:rPr>
      </w:pPr>
    </w:p>
    <w:p w:rsidR="00380327" w:rsidRPr="001915FE" w:rsidRDefault="00380327" w:rsidP="00380327">
      <w:pPr>
        <w:pStyle w:val="a4"/>
        <w:numPr>
          <w:ilvl w:val="0"/>
          <w:numId w:val="3"/>
        </w:numPr>
        <w:spacing w:after="0" w:line="360" w:lineRule="auto"/>
        <w:rPr>
          <w:rFonts w:ascii="David" w:hAnsi="David" w:cs="David"/>
          <w:b/>
          <w:bCs/>
          <w:sz w:val="24"/>
          <w:szCs w:val="24"/>
        </w:rPr>
      </w:pPr>
      <w:r w:rsidRPr="001915FE">
        <w:rPr>
          <w:rFonts w:ascii="David" w:hAnsi="David" w:cs="David"/>
          <w:b/>
          <w:bCs/>
          <w:sz w:val="24"/>
          <w:szCs w:val="24"/>
          <w:rtl/>
        </w:rPr>
        <w:t>המעשה נעשה מתוך מניע של גזענות או עוינות כלפי צי</w:t>
      </w:r>
      <w:r>
        <w:rPr>
          <w:rFonts w:ascii="David" w:hAnsi="David" w:cs="David"/>
          <w:b/>
          <w:bCs/>
          <w:sz w:val="24"/>
          <w:szCs w:val="24"/>
          <w:rtl/>
        </w:rPr>
        <w:t>בור, כאמור בסעיף 144ו</w:t>
      </w:r>
    </w:p>
    <w:p w:rsidR="00380327" w:rsidRPr="001915FE" w:rsidRDefault="00380327" w:rsidP="00380327">
      <w:pPr>
        <w:spacing w:before="120" w:after="120" w:line="360" w:lineRule="auto"/>
        <w:jc w:val="both"/>
        <w:rPr>
          <w:rFonts w:ascii="David" w:hAnsi="David" w:cs="David"/>
          <w:sz w:val="24"/>
          <w:szCs w:val="24"/>
        </w:rPr>
      </w:pPr>
      <w:r w:rsidRPr="001915FE">
        <w:rPr>
          <w:rFonts w:ascii="David" w:hAnsi="David" w:cs="David"/>
          <w:sz w:val="24"/>
          <w:szCs w:val="24"/>
          <w:rtl/>
        </w:rPr>
        <w:t>לפי דברי ההסבר, בשל הפגיעה בערך המוגן הנוסף, ראוי שמניע של גזענות או עוינות כלפי ציבור יהווה נסיבה מחמירה</w:t>
      </w:r>
      <w:r>
        <w:rPr>
          <w:rFonts w:ascii="David" w:hAnsi="David" w:cs="David" w:hint="cs"/>
          <w:sz w:val="24"/>
          <w:szCs w:val="24"/>
          <w:rtl/>
        </w:rPr>
        <w:t xml:space="preserve">. כך גם צוין בדוח ועדת קרמניצר כי ביצוע רצח ממניע כאמור </w:t>
      </w:r>
      <w:r w:rsidRPr="001915FE">
        <w:rPr>
          <w:rFonts w:ascii="David" w:hAnsi="David" w:cs="David"/>
          <w:sz w:val="24"/>
          <w:szCs w:val="24"/>
          <w:rtl/>
        </w:rPr>
        <w:t>מצדיק תיוג חמור במיוחד.</w:t>
      </w:r>
    </w:p>
    <w:p w:rsidR="00380327" w:rsidRPr="001915FE" w:rsidRDefault="00380327" w:rsidP="00380327">
      <w:pPr>
        <w:spacing w:before="120" w:after="120" w:line="360" w:lineRule="auto"/>
        <w:jc w:val="both"/>
        <w:rPr>
          <w:rFonts w:ascii="David" w:hAnsi="David" w:cs="David"/>
          <w:sz w:val="24"/>
          <w:szCs w:val="24"/>
          <w:rtl/>
        </w:rPr>
      </w:pPr>
      <w:r w:rsidRPr="001915FE">
        <w:rPr>
          <w:rFonts w:ascii="David" w:hAnsi="David" w:cs="David"/>
          <w:sz w:val="24"/>
          <w:szCs w:val="24"/>
          <w:rtl/>
        </w:rPr>
        <w:t>סעיף 144ו לחוק העונשין קובע:</w:t>
      </w:r>
    </w:p>
    <w:p w:rsidR="00380327" w:rsidRPr="001915FE" w:rsidRDefault="00380327" w:rsidP="00380327">
      <w:pPr>
        <w:spacing w:before="120" w:after="120" w:line="360" w:lineRule="auto"/>
        <w:jc w:val="both"/>
        <w:rPr>
          <w:rFonts w:ascii="David" w:hAnsi="David" w:cs="David"/>
          <w:b/>
          <w:bCs/>
          <w:spacing w:val="10"/>
          <w:sz w:val="24"/>
          <w:szCs w:val="24"/>
          <w:rtl/>
        </w:rPr>
      </w:pPr>
      <w:r w:rsidRPr="001915FE">
        <w:rPr>
          <w:rFonts w:ascii="David" w:hAnsi="David" w:cs="David"/>
          <w:b/>
          <w:bCs/>
          <w:spacing w:val="10"/>
          <w:sz w:val="24"/>
          <w:szCs w:val="24"/>
          <w:rtl/>
        </w:rPr>
        <w:t>"העובר עבירה מתוך מניע של גזענות כהגדרתה בסימן א'1 או של עוינות כלפי ציבור מחמת דת, קבוצה דתית, מוצא עדתי, נטי</w:t>
      </w:r>
      <w:r>
        <w:rPr>
          <w:rFonts w:ascii="David" w:hAnsi="David" w:cs="David" w:hint="cs"/>
          <w:b/>
          <w:bCs/>
          <w:spacing w:val="10"/>
          <w:sz w:val="24"/>
          <w:szCs w:val="24"/>
          <w:rtl/>
        </w:rPr>
        <w:t>י</w:t>
      </w:r>
      <w:r w:rsidRPr="001915FE">
        <w:rPr>
          <w:rFonts w:ascii="David" w:hAnsi="David" w:cs="David"/>
          <w:b/>
          <w:bCs/>
          <w:spacing w:val="10"/>
          <w:sz w:val="24"/>
          <w:szCs w:val="24"/>
          <w:rtl/>
        </w:rPr>
        <w:t>ה מינית או היותם עובדים זרים, דינו.... – כפל העונש הקבוע לאותה עבירה או מאסר עשר שנים, הכל לפי העונש הקל יותר."</w:t>
      </w:r>
    </w:p>
    <w:p w:rsidR="00380327" w:rsidRPr="001915FE" w:rsidRDefault="00380327" w:rsidP="00380327">
      <w:pPr>
        <w:spacing w:before="120" w:after="120" w:line="360" w:lineRule="auto"/>
        <w:jc w:val="both"/>
        <w:rPr>
          <w:rFonts w:ascii="David" w:hAnsi="David" w:cs="David"/>
          <w:spacing w:val="10"/>
          <w:sz w:val="24"/>
          <w:szCs w:val="24"/>
          <w:rtl/>
        </w:rPr>
      </w:pPr>
      <w:r w:rsidRPr="001915FE">
        <w:rPr>
          <w:rFonts w:ascii="David" w:hAnsi="David" w:cs="David"/>
          <w:spacing w:val="10"/>
          <w:sz w:val="24"/>
          <w:szCs w:val="24"/>
          <w:rtl/>
        </w:rPr>
        <w:t>"גזענות" מוגדרת בסעיף 144א כדלקמן:</w:t>
      </w:r>
    </w:p>
    <w:p w:rsidR="00380327" w:rsidRPr="001915FE" w:rsidRDefault="00380327" w:rsidP="00380327">
      <w:pPr>
        <w:spacing w:before="120" w:after="120" w:line="360" w:lineRule="auto"/>
        <w:jc w:val="both"/>
        <w:rPr>
          <w:rFonts w:ascii="David" w:hAnsi="David" w:cs="David"/>
          <w:b/>
          <w:bCs/>
          <w:spacing w:val="10"/>
          <w:sz w:val="24"/>
          <w:szCs w:val="24"/>
          <w:rtl/>
        </w:rPr>
      </w:pPr>
      <w:r w:rsidRPr="001915FE">
        <w:rPr>
          <w:rFonts w:ascii="David" w:hAnsi="David" w:cs="David"/>
          <w:b/>
          <w:bCs/>
          <w:spacing w:val="10"/>
          <w:sz w:val="24"/>
          <w:szCs w:val="24"/>
          <w:rtl/>
        </w:rPr>
        <w:t>"רדיפה, השפלה, ביזוי, גילוי איבה, עוינות או אלימות, או גרימת מדנים כלפי ציבור או חלקים של האוכלוסי</w:t>
      </w:r>
      <w:r>
        <w:rPr>
          <w:rFonts w:ascii="David" w:hAnsi="David" w:cs="David" w:hint="cs"/>
          <w:b/>
          <w:bCs/>
          <w:spacing w:val="10"/>
          <w:sz w:val="24"/>
          <w:szCs w:val="24"/>
          <w:rtl/>
        </w:rPr>
        <w:t>י</w:t>
      </w:r>
      <w:r w:rsidRPr="001915FE">
        <w:rPr>
          <w:rFonts w:ascii="David" w:hAnsi="David" w:cs="David"/>
          <w:b/>
          <w:bCs/>
          <w:spacing w:val="10"/>
          <w:sz w:val="24"/>
          <w:szCs w:val="24"/>
          <w:rtl/>
        </w:rPr>
        <w:t>ה, והכל בשל צבע או השתייכות לגזע או למוצא לאומי-אתני;"</w:t>
      </w:r>
    </w:p>
    <w:p w:rsidR="00380327" w:rsidRPr="001915FE" w:rsidRDefault="00380327" w:rsidP="00380327">
      <w:pPr>
        <w:spacing w:before="120" w:after="120" w:line="360" w:lineRule="auto"/>
        <w:jc w:val="both"/>
        <w:rPr>
          <w:rFonts w:ascii="David" w:hAnsi="David" w:cs="David"/>
          <w:spacing w:val="10"/>
          <w:sz w:val="24"/>
          <w:szCs w:val="24"/>
          <w:rtl/>
        </w:rPr>
      </w:pPr>
      <w:r w:rsidRPr="001915FE">
        <w:rPr>
          <w:rFonts w:ascii="David" w:hAnsi="David" w:cs="David"/>
          <w:spacing w:val="10"/>
          <w:sz w:val="24"/>
          <w:szCs w:val="24"/>
          <w:rtl/>
        </w:rPr>
        <w:t xml:space="preserve">בסעיף 144ו </w:t>
      </w:r>
      <w:r>
        <w:rPr>
          <w:rFonts w:ascii="David" w:hAnsi="David" w:cs="David" w:hint="cs"/>
          <w:spacing w:val="10"/>
          <w:sz w:val="24"/>
          <w:szCs w:val="24"/>
          <w:rtl/>
        </w:rPr>
        <w:t>אימץ המחוקק את התפיסה ש</w:t>
      </w:r>
      <w:r w:rsidRPr="001915FE">
        <w:rPr>
          <w:rFonts w:ascii="David" w:hAnsi="David" w:cs="David"/>
          <w:spacing w:val="10"/>
          <w:sz w:val="24"/>
          <w:szCs w:val="24"/>
          <w:rtl/>
        </w:rPr>
        <w:t>ביצוע של עבירה הוא חמור יותר כאשר המניע הוא של גזענות או עוינות כלפי ציבור</w:t>
      </w:r>
      <w:r>
        <w:rPr>
          <w:rFonts w:ascii="David" w:hAnsi="David" w:cs="David" w:hint="cs"/>
          <w:spacing w:val="10"/>
          <w:sz w:val="24"/>
          <w:szCs w:val="24"/>
          <w:rtl/>
        </w:rPr>
        <w:t xml:space="preserve"> כאמור</w:t>
      </w:r>
      <w:r w:rsidRPr="001915FE">
        <w:rPr>
          <w:rFonts w:ascii="David" w:hAnsi="David" w:cs="David"/>
          <w:spacing w:val="10"/>
          <w:sz w:val="24"/>
          <w:szCs w:val="24"/>
          <w:rtl/>
        </w:rPr>
        <w:t>.</w:t>
      </w:r>
    </w:p>
    <w:p w:rsidR="00380327" w:rsidRDefault="00380327" w:rsidP="00380327">
      <w:pPr>
        <w:spacing w:before="120" w:after="120" w:line="360" w:lineRule="auto"/>
        <w:jc w:val="both"/>
        <w:rPr>
          <w:rFonts w:ascii="David" w:hAnsi="David" w:cs="David"/>
          <w:spacing w:val="10"/>
          <w:sz w:val="24"/>
          <w:szCs w:val="24"/>
          <w:rtl/>
        </w:rPr>
      </w:pPr>
      <w:r>
        <w:rPr>
          <w:rFonts w:ascii="David" w:hAnsi="David" w:cs="David" w:hint="cs"/>
          <w:spacing w:val="10"/>
          <w:sz w:val="24"/>
          <w:szCs w:val="24"/>
          <w:rtl/>
        </w:rPr>
        <w:t xml:space="preserve">מוצע לדון בנסיבה מחמירה זו. מוצע לדון בשאלה אם להגביל זאת להגדרה הקיימת בסעיף 144א כמוצע המתייחסת לגזענות בשל צבע או השתייכות לגזע או למנוע לאומי-אתני. כמו כן, מוצע לשקול לעניין הנוסח, </w:t>
      </w:r>
      <w:r w:rsidRPr="00E95B79">
        <w:rPr>
          <w:rFonts w:ascii="David" w:hAnsi="David" w:cs="David"/>
          <w:spacing w:val="10"/>
          <w:sz w:val="24"/>
          <w:szCs w:val="24"/>
          <w:rtl/>
        </w:rPr>
        <w:t>האם להגדיר זאת כפשע</w:t>
      </w:r>
      <w:r>
        <w:rPr>
          <w:rFonts w:ascii="David" w:hAnsi="David" w:cs="David" w:hint="cs"/>
          <w:spacing w:val="10"/>
          <w:sz w:val="24"/>
          <w:szCs w:val="24"/>
          <w:rtl/>
        </w:rPr>
        <w:t>/עבירת</w:t>
      </w:r>
      <w:r w:rsidRPr="00E95B79">
        <w:rPr>
          <w:rFonts w:ascii="David" w:hAnsi="David" w:cs="David"/>
          <w:spacing w:val="10"/>
          <w:sz w:val="24"/>
          <w:szCs w:val="24"/>
          <w:rtl/>
        </w:rPr>
        <w:t xml:space="preserve"> שנאה</w:t>
      </w:r>
      <w:r>
        <w:rPr>
          <w:rFonts w:ascii="David" w:hAnsi="David" w:cs="David" w:hint="cs"/>
          <w:spacing w:val="10"/>
          <w:sz w:val="24"/>
          <w:szCs w:val="24"/>
          <w:rtl/>
        </w:rPr>
        <w:t>.</w:t>
      </w:r>
    </w:p>
    <w:p w:rsidR="00380327" w:rsidRPr="00E95B79" w:rsidRDefault="00380327" w:rsidP="00380327">
      <w:pPr>
        <w:spacing w:before="120" w:after="120" w:line="360" w:lineRule="auto"/>
        <w:jc w:val="both"/>
        <w:rPr>
          <w:rFonts w:ascii="David" w:hAnsi="David" w:cs="David"/>
          <w:spacing w:val="10"/>
          <w:sz w:val="24"/>
          <w:szCs w:val="24"/>
          <w:rtl/>
        </w:rPr>
      </w:pPr>
    </w:p>
    <w:p w:rsidR="00380327" w:rsidRPr="00001F79" w:rsidRDefault="00380327" w:rsidP="00380327">
      <w:pPr>
        <w:spacing w:after="0" w:line="360" w:lineRule="auto"/>
        <w:jc w:val="both"/>
        <w:rPr>
          <w:rFonts w:ascii="David" w:hAnsi="David" w:cs="David"/>
          <w:sz w:val="24"/>
          <w:szCs w:val="24"/>
        </w:rPr>
      </w:pPr>
      <w:r>
        <w:rPr>
          <w:rFonts w:ascii="David" w:hAnsi="David" w:cs="David" w:hint="cs"/>
          <w:b/>
          <w:bCs/>
          <w:sz w:val="24"/>
          <w:szCs w:val="24"/>
          <w:rtl/>
        </w:rPr>
        <w:t>6.</w:t>
      </w:r>
      <w:r w:rsidRPr="00001F79">
        <w:rPr>
          <w:rFonts w:ascii="David" w:hAnsi="David" w:cs="David"/>
          <w:b/>
          <w:bCs/>
          <w:sz w:val="24"/>
          <w:szCs w:val="24"/>
          <w:rtl/>
        </w:rPr>
        <w:t>המעשה נעשה כפעולה עונשית במטרה להטיל מרות או מורא ולכפות אורחות התנהגות על ציבור</w:t>
      </w:r>
    </w:p>
    <w:p w:rsidR="00380327" w:rsidRPr="001915FE" w:rsidRDefault="00380327" w:rsidP="00380327">
      <w:pPr>
        <w:spacing w:before="120" w:after="120" w:line="360" w:lineRule="auto"/>
        <w:jc w:val="both"/>
        <w:rPr>
          <w:rFonts w:ascii="David" w:hAnsi="David" w:cs="David"/>
          <w:sz w:val="24"/>
          <w:szCs w:val="24"/>
          <w:rtl/>
        </w:rPr>
      </w:pPr>
      <w:r w:rsidRPr="001915FE">
        <w:rPr>
          <w:rFonts w:ascii="David" w:hAnsi="David" w:cs="David"/>
          <w:sz w:val="24"/>
          <w:szCs w:val="24"/>
          <w:rtl/>
        </w:rPr>
        <w:t xml:space="preserve">נסיבה זו מתייחסת למקרים בהם הרצח מהווה לא רק אקט הפוגע בקורבן, אלא גם אקט </w:t>
      </w:r>
      <w:r>
        <w:rPr>
          <w:rFonts w:ascii="David" w:hAnsi="David" w:cs="David" w:hint="cs"/>
          <w:sz w:val="24"/>
          <w:szCs w:val="24"/>
          <w:rtl/>
        </w:rPr>
        <w:t>"</w:t>
      </w:r>
      <w:r w:rsidRPr="001915FE">
        <w:rPr>
          <w:rFonts w:ascii="David" w:hAnsi="David" w:cs="David"/>
          <w:sz w:val="24"/>
          <w:szCs w:val="24"/>
          <w:rtl/>
        </w:rPr>
        <w:t>הממשטר</w:t>
      </w:r>
      <w:r>
        <w:rPr>
          <w:rFonts w:ascii="David" w:hAnsi="David" w:cs="David" w:hint="cs"/>
          <w:sz w:val="24"/>
          <w:szCs w:val="24"/>
          <w:rtl/>
        </w:rPr>
        <w:t>"</w:t>
      </w:r>
      <w:r w:rsidRPr="001915FE">
        <w:rPr>
          <w:rFonts w:ascii="David" w:hAnsi="David" w:cs="David"/>
          <w:sz w:val="24"/>
          <w:szCs w:val="24"/>
          <w:rtl/>
        </w:rPr>
        <w:t xml:space="preserve"> אנשים השייכים לקבוצה, מגביל אותם</w:t>
      </w:r>
      <w:r>
        <w:rPr>
          <w:rFonts w:ascii="David" w:hAnsi="David" w:cs="David" w:hint="cs"/>
          <w:sz w:val="24"/>
          <w:szCs w:val="24"/>
          <w:rtl/>
        </w:rPr>
        <w:t xml:space="preserve"> ומאיים עליהם</w:t>
      </w:r>
      <w:r w:rsidRPr="001915FE">
        <w:rPr>
          <w:rFonts w:ascii="David" w:hAnsi="David" w:cs="David"/>
          <w:sz w:val="24"/>
          <w:szCs w:val="24"/>
          <w:rtl/>
        </w:rPr>
        <w:t xml:space="preserve">. לפי דברי ההסבר, המקרים המובהקים אליהם התכוונו בנסיבה מחמירה זו הם רצח על רקע </w:t>
      </w:r>
      <w:r>
        <w:rPr>
          <w:rFonts w:ascii="David" w:hAnsi="David" w:cs="David" w:hint="cs"/>
          <w:sz w:val="24"/>
          <w:szCs w:val="24"/>
          <w:rtl/>
        </w:rPr>
        <w:t xml:space="preserve">מה שמכונה </w:t>
      </w:r>
      <w:r w:rsidRPr="001915FE">
        <w:rPr>
          <w:rFonts w:ascii="David" w:hAnsi="David" w:cs="David"/>
          <w:sz w:val="24"/>
          <w:szCs w:val="24"/>
          <w:rtl/>
        </w:rPr>
        <w:t>"כבוד המשפחה".</w:t>
      </w:r>
    </w:p>
    <w:p w:rsidR="00380327" w:rsidRDefault="00380327" w:rsidP="00380327">
      <w:pPr>
        <w:spacing w:before="120" w:after="120" w:line="360" w:lineRule="auto"/>
        <w:jc w:val="both"/>
        <w:rPr>
          <w:rFonts w:ascii="David" w:hAnsi="David" w:cs="David"/>
          <w:sz w:val="24"/>
          <w:szCs w:val="24"/>
          <w:rtl/>
        </w:rPr>
      </w:pPr>
      <w:r w:rsidRPr="00FA42E4">
        <w:rPr>
          <w:rFonts w:ascii="David" w:hAnsi="David" w:cs="David" w:hint="cs"/>
          <w:sz w:val="24"/>
          <w:szCs w:val="24"/>
          <w:rtl/>
        </w:rPr>
        <w:t xml:space="preserve">יצוין כי </w:t>
      </w:r>
      <w:r w:rsidRPr="00FA42E4">
        <w:rPr>
          <w:rFonts w:ascii="David" w:hAnsi="David" w:cs="David"/>
          <w:sz w:val="24"/>
          <w:szCs w:val="24"/>
          <w:rtl/>
        </w:rPr>
        <w:t xml:space="preserve">הפסיקה </w:t>
      </w:r>
      <w:r w:rsidRPr="00FA42E4">
        <w:rPr>
          <w:rFonts w:ascii="David" w:hAnsi="David" w:cs="David" w:hint="cs"/>
          <w:sz w:val="24"/>
          <w:szCs w:val="24"/>
          <w:rtl/>
        </w:rPr>
        <w:t>חזרה ו</w:t>
      </w:r>
      <w:r w:rsidRPr="00FA42E4">
        <w:rPr>
          <w:rFonts w:ascii="David" w:hAnsi="David" w:cs="David"/>
          <w:sz w:val="24"/>
          <w:szCs w:val="24"/>
          <w:rtl/>
        </w:rPr>
        <w:t xml:space="preserve">דחתה את דוקטרינת ההגנה התרבותית </w:t>
      </w:r>
      <w:r w:rsidRPr="00FA42E4">
        <w:rPr>
          <w:rFonts w:ascii="David" w:hAnsi="David" w:cs="David" w:hint="cs"/>
          <w:sz w:val="24"/>
          <w:szCs w:val="24"/>
          <w:rtl/>
        </w:rPr>
        <w:t xml:space="preserve">בנושא זה </w:t>
      </w:r>
      <w:r w:rsidRPr="00FA42E4">
        <w:rPr>
          <w:rFonts w:ascii="David" w:hAnsi="David" w:cs="David"/>
          <w:sz w:val="24"/>
          <w:szCs w:val="24"/>
          <w:rtl/>
        </w:rPr>
        <w:t xml:space="preserve">וקבעה כי רצח על רקע </w:t>
      </w:r>
      <w:r w:rsidRPr="00FA42E4">
        <w:rPr>
          <w:rFonts w:ascii="David" w:hAnsi="David" w:cs="David" w:hint="cs"/>
          <w:sz w:val="24"/>
          <w:szCs w:val="24"/>
          <w:rtl/>
        </w:rPr>
        <w:t>"</w:t>
      </w:r>
      <w:r w:rsidRPr="00FA42E4">
        <w:rPr>
          <w:rFonts w:ascii="David" w:hAnsi="David" w:cs="David"/>
          <w:sz w:val="24"/>
          <w:szCs w:val="24"/>
          <w:rtl/>
        </w:rPr>
        <w:t>כבוד המשפחה</w:t>
      </w:r>
      <w:r w:rsidRPr="00FA42E4">
        <w:rPr>
          <w:rFonts w:ascii="David" w:hAnsi="David" w:cs="David" w:hint="cs"/>
          <w:sz w:val="24"/>
          <w:szCs w:val="24"/>
          <w:rtl/>
        </w:rPr>
        <w:t>"</w:t>
      </w:r>
      <w:r w:rsidRPr="00FA42E4">
        <w:rPr>
          <w:rFonts w:ascii="David" w:hAnsi="David" w:cs="David"/>
          <w:sz w:val="24"/>
          <w:szCs w:val="24"/>
          <w:rtl/>
        </w:rPr>
        <w:t xml:space="preserve"> </w:t>
      </w:r>
      <w:r w:rsidRPr="00FA42E4">
        <w:rPr>
          <w:rFonts w:ascii="David" w:hAnsi="David" w:cs="David" w:hint="cs"/>
          <w:sz w:val="24"/>
          <w:szCs w:val="24"/>
          <w:rtl/>
        </w:rPr>
        <w:t>מהווה</w:t>
      </w:r>
      <w:r w:rsidRPr="00FA42E4">
        <w:rPr>
          <w:rFonts w:ascii="David" w:hAnsi="David" w:cs="David"/>
          <w:sz w:val="24"/>
          <w:szCs w:val="24"/>
          <w:rtl/>
        </w:rPr>
        <w:t xml:space="preserve"> רצח בכוונה תחילה</w:t>
      </w:r>
      <w:r w:rsidRPr="00FA42E4">
        <w:rPr>
          <w:rStyle w:val="a7"/>
          <w:rFonts w:ascii="David" w:hAnsi="David" w:cs="David"/>
          <w:sz w:val="24"/>
          <w:szCs w:val="24"/>
          <w:rtl/>
        </w:rPr>
        <w:footnoteReference w:id="8"/>
      </w:r>
      <w:r w:rsidRPr="00FA42E4">
        <w:rPr>
          <w:rFonts w:ascii="David" w:hAnsi="David" w:cs="David"/>
          <w:sz w:val="24"/>
          <w:szCs w:val="24"/>
          <w:rtl/>
        </w:rPr>
        <w:t xml:space="preserve">. </w:t>
      </w:r>
    </w:p>
    <w:p w:rsidR="00380327" w:rsidRPr="00FA42E4" w:rsidRDefault="00380327" w:rsidP="00380327">
      <w:pPr>
        <w:spacing w:before="120" w:after="120" w:line="360" w:lineRule="auto"/>
        <w:jc w:val="both"/>
        <w:rPr>
          <w:rFonts w:ascii="David" w:hAnsi="David" w:cs="David"/>
          <w:sz w:val="24"/>
          <w:szCs w:val="24"/>
          <w:rtl/>
        </w:rPr>
      </w:pPr>
      <w:r>
        <w:rPr>
          <w:rFonts w:ascii="David" w:hAnsi="David" w:cs="David" w:hint="cs"/>
          <w:sz w:val="24"/>
          <w:szCs w:val="24"/>
          <w:rtl/>
        </w:rPr>
        <w:t xml:space="preserve">כך למשל לעניין דחיית טענה של הגנה תרבותית בעבירות הרצח, קבע השופט ג'ובראן </w:t>
      </w:r>
      <w:r w:rsidRPr="00FA42E4">
        <w:rPr>
          <w:rFonts w:ascii="David" w:hAnsi="David" w:cs="David" w:hint="cs"/>
          <w:sz w:val="24"/>
          <w:szCs w:val="24"/>
          <w:rtl/>
        </w:rPr>
        <w:t>ב</w:t>
      </w:r>
      <w:hyperlink r:id="rId14" w:history="1">
        <w:r w:rsidRPr="00FA42E4">
          <w:rPr>
            <w:rFonts w:ascii="David" w:hAnsi="David" w:cs="David"/>
            <w:b/>
            <w:bCs/>
            <w:sz w:val="24"/>
            <w:szCs w:val="24"/>
            <w:rtl/>
          </w:rPr>
          <w:t>ע"פ 10358/08 איסמעיל אזברגה נ' מדינת ישראל</w:t>
        </w:r>
        <w:r w:rsidRPr="00FA42E4">
          <w:rPr>
            <w:rStyle w:val="a7"/>
            <w:rFonts w:ascii="David" w:hAnsi="David" w:cs="David"/>
            <w:sz w:val="24"/>
            <w:szCs w:val="24"/>
            <w:rtl/>
          </w:rPr>
          <w:footnoteReference w:id="9"/>
        </w:r>
      </w:hyperlink>
      <w:r w:rsidRPr="00FA42E4">
        <w:rPr>
          <w:rFonts w:ascii="David" w:hAnsi="David" w:cs="David" w:hint="cs"/>
          <w:sz w:val="24"/>
          <w:szCs w:val="24"/>
          <w:rtl/>
        </w:rPr>
        <w:t>:</w:t>
      </w:r>
    </w:p>
    <w:p w:rsidR="00380327" w:rsidRPr="00CB649A" w:rsidRDefault="00380327" w:rsidP="00380327">
      <w:pPr>
        <w:spacing w:before="120" w:after="120" w:line="360" w:lineRule="auto"/>
        <w:ind w:left="680" w:right="680"/>
        <w:jc w:val="both"/>
        <w:rPr>
          <w:rFonts w:ascii="David" w:hAnsi="David" w:cs="David"/>
          <w:b/>
          <w:bCs/>
          <w:sz w:val="24"/>
          <w:szCs w:val="24"/>
          <w:rtl/>
        </w:rPr>
      </w:pPr>
      <w:r w:rsidRPr="00147C0C">
        <w:rPr>
          <w:rFonts w:ascii="David" w:hAnsi="David" w:cs="David"/>
          <w:sz w:val="24"/>
          <w:szCs w:val="24"/>
          <w:rtl/>
        </w:rPr>
        <w:t>"</w:t>
      </w:r>
      <w:r w:rsidRPr="00147C0C">
        <w:rPr>
          <w:rFonts w:ascii="David" w:hAnsi="David" w:cs="David"/>
          <w:b/>
          <w:bCs/>
          <w:sz w:val="24"/>
          <w:szCs w:val="24"/>
          <w:rtl/>
        </w:rPr>
        <w:t>לפני ההכרה בזכותו של הנאשם לתרבותו יש להגן על זכותו של הקורבן על חייו ועל שלמות גופו. על כן, לסובלנות בחברה הרב תרבותית יש גבולות</w:t>
      </w:r>
      <w:r w:rsidRPr="00CB649A">
        <w:rPr>
          <w:rFonts w:ascii="David" w:hAnsi="David" w:cs="David" w:hint="cs"/>
          <w:b/>
          <w:bCs/>
          <w:sz w:val="24"/>
          <w:szCs w:val="24"/>
          <w:rtl/>
        </w:rPr>
        <w:t>....</w:t>
      </w:r>
      <w:r w:rsidRPr="00147C0C">
        <w:rPr>
          <w:rFonts w:ascii="David" w:hAnsi="David" w:cs="David"/>
          <w:b/>
          <w:bCs/>
          <w:sz w:val="24"/>
          <w:szCs w:val="24"/>
          <w:rtl/>
        </w:rPr>
        <w:t xml:space="preserve"> מובן הוא כי באיזון זה מנהגים אלימים, כגון נקמת דם, רצח "על רקע כבוד המשפחה" וכדומה, יוצאים אל מחוץ ל"מגרש" הרב תרבותי. אין שום דרך לקבל מנהג תרבותי הנוקט דרך של אלימות קשה. יש להילחם מלחמת חורמה במנהגים אלימים מעין אלו. אנו מחויבים לשמור על אמות מידה מוסריות בסיסיות, ובראשן קדושת החיים ושלמות הגוף."</w:t>
      </w:r>
    </w:p>
    <w:p w:rsidR="00380327" w:rsidRPr="001915FE" w:rsidRDefault="00380327" w:rsidP="00380327">
      <w:pPr>
        <w:spacing w:before="120" w:after="120" w:line="360" w:lineRule="auto"/>
        <w:jc w:val="both"/>
        <w:rPr>
          <w:rFonts w:ascii="David" w:hAnsi="David" w:cs="David"/>
          <w:sz w:val="24"/>
          <w:szCs w:val="24"/>
          <w:rtl/>
        </w:rPr>
      </w:pPr>
      <w:r w:rsidRPr="00075B5A">
        <w:rPr>
          <w:rFonts w:ascii="David" w:hAnsi="David" w:cs="David" w:hint="cs"/>
          <w:sz w:val="24"/>
          <w:szCs w:val="24"/>
          <w:rtl/>
        </w:rPr>
        <w:t>ב</w:t>
      </w:r>
      <w:r w:rsidRPr="00075B5A">
        <w:rPr>
          <w:rFonts w:ascii="David" w:hAnsi="David" w:cs="David"/>
          <w:sz w:val="24"/>
          <w:szCs w:val="24"/>
          <w:rtl/>
        </w:rPr>
        <w:t>צוות לבחינת יסודות עבירות ההמתה, התעוררה דילמה האם להתמקד בנושא ספציפי זה או להרחיבו. מאחר שעלה חשש שהתמקדות בנושא ספציפי</w:t>
      </w:r>
      <w:r w:rsidRPr="001915FE">
        <w:rPr>
          <w:rFonts w:ascii="David" w:hAnsi="David" w:cs="David"/>
          <w:sz w:val="24"/>
          <w:szCs w:val="24"/>
          <w:rtl/>
        </w:rPr>
        <w:t xml:space="preserve"> המקושר לקבוצות מסוימות באוכלוסייה תיתפס באופן שלילי, ובשל הקושי בשימוש במונח זה של רצח על רקע כבוד המשפחה שהינו מונח חיובי, הוחלט על ידי הצוות להרחיב במקצת את הגדרת הנסיבה.</w:t>
      </w:r>
    </w:p>
    <w:p w:rsidR="00380327" w:rsidRPr="001915FE" w:rsidRDefault="00380327" w:rsidP="00380327">
      <w:pPr>
        <w:spacing w:before="120" w:after="120" w:line="360" w:lineRule="auto"/>
        <w:jc w:val="both"/>
        <w:rPr>
          <w:rFonts w:ascii="David" w:hAnsi="David" w:cs="David"/>
          <w:sz w:val="24"/>
          <w:szCs w:val="24"/>
          <w:rtl/>
        </w:rPr>
      </w:pPr>
      <w:r w:rsidRPr="001915FE">
        <w:rPr>
          <w:rFonts w:ascii="David" w:hAnsi="David" w:cs="David"/>
          <w:sz w:val="24"/>
          <w:szCs w:val="24"/>
          <w:rtl/>
        </w:rPr>
        <w:t>יודגש, כי  לכאורה המקרים הכלולים בנסיבה זו מהווים מקרה פרטני של הנסיבה הראשונה של כוונה תחילה.</w:t>
      </w:r>
    </w:p>
    <w:p w:rsidR="00380327" w:rsidRDefault="00380327" w:rsidP="00380327">
      <w:pPr>
        <w:spacing w:before="120" w:after="120" w:line="360" w:lineRule="auto"/>
        <w:jc w:val="both"/>
        <w:rPr>
          <w:rFonts w:ascii="David" w:hAnsi="David" w:cs="David"/>
          <w:sz w:val="24"/>
          <w:szCs w:val="24"/>
          <w:rtl/>
        </w:rPr>
      </w:pPr>
      <w:r w:rsidRPr="001915FE">
        <w:rPr>
          <w:rFonts w:ascii="David" w:hAnsi="David" w:cs="David"/>
          <w:sz w:val="24"/>
          <w:szCs w:val="24"/>
          <w:rtl/>
        </w:rPr>
        <w:t>מוצע לדון ב</w:t>
      </w:r>
      <w:r>
        <w:rPr>
          <w:rFonts w:ascii="David" w:hAnsi="David" w:cs="David" w:hint="cs"/>
          <w:sz w:val="24"/>
          <w:szCs w:val="24"/>
          <w:rtl/>
        </w:rPr>
        <w:t>נסיבה מחמירה זו ובשאלת ניסוחה ותחולתה, כפי שעלה בוועדת קרמניצר</w:t>
      </w:r>
      <w:r w:rsidRPr="001915FE">
        <w:rPr>
          <w:rFonts w:ascii="David" w:hAnsi="David" w:cs="David"/>
          <w:sz w:val="24"/>
          <w:szCs w:val="24"/>
          <w:rtl/>
        </w:rPr>
        <w:t>.</w:t>
      </w:r>
    </w:p>
    <w:p w:rsidR="00380327" w:rsidRPr="001915FE" w:rsidRDefault="00380327" w:rsidP="00380327">
      <w:pPr>
        <w:spacing w:before="120" w:after="120" w:line="360" w:lineRule="auto"/>
        <w:jc w:val="both"/>
        <w:rPr>
          <w:rFonts w:ascii="David" w:hAnsi="David" w:cs="David"/>
          <w:sz w:val="24"/>
          <w:szCs w:val="24"/>
        </w:rPr>
      </w:pPr>
    </w:p>
    <w:p w:rsidR="00380327" w:rsidRPr="009D4322" w:rsidRDefault="00380327" w:rsidP="00380327">
      <w:pPr>
        <w:pStyle w:val="a4"/>
        <w:numPr>
          <w:ilvl w:val="0"/>
          <w:numId w:val="4"/>
        </w:numPr>
        <w:spacing w:after="0" w:line="360" w:lineRule="auto"/>
        <w:rPr>
          <w:rFonts w:ascii="David" w:hAnsi="David" w:cs="David"/>
          <w:b/>
          <w:bCs/>
          <w:sz w:val="24"/>
          <w:szCs w:val="24"/>
        </w:rPr>
      </w:pPr>
      <w:r w:rsidRPr="009D4322">
        <w:rPr>
          <w:rFonts w:ascii="David" w:hAnsi="David" w:cs="David"/>
          <w:b/>
          <w:bCs/>
          <w:sz w:val="24"/>
          <w:szCs w:val="24"/>
          <w:rtl/>
        </w:rPr>
        <w:t xml:space="preserve">המעשה נעשה באכזריות מיוחדת או תוך התעללות </w:t>
      </w:r>
      <w:r w:rsidRPr="009D4322">
        <w:rPr>
          <w:rFonts w:ascii="David" w:hAnsi="David" w:cs="David" w:hint="cs"/>
          <w:b/>
          <w:bCs/>
          <w:sz w:val="24"/>
          <w:szCs w:val="24"/>
          <w:rtl/>
        </w:rPr>
        <w:t xml:space="preserve">גופנית או נפשית </w:t>
      </w:r>
      <w:r w:rsidRPr="009D4322">
        <w:rPr>
          <w:rFonts w:ascii="David" w:hAnsi="David" w:cs="David"/>
          <w:b/>
          <w:bCs/>
          <w:sz w:val="24"/>
          <w:szCs w:val="24"/>
          <w:rtl/>
        </w:rPr>
        <w:t>בקורבן</w:t>
      </w:r>
    </w:p>
    <w:p w:rsidR="00380327" w:rsidRDefault="00380327" w:rsidP="00380327">
      <w:pPr>
        <w:spacing w:after="0" w:line="360" w:lineRule="auto"/>
        <w:jc w:val="both"/>
        <w:rPr>
          <w:rFonts w:ascii="David" w:hAnsi="David" w:cs="David"/>
          <w:sz w:val="24"/>
          <w:szCs w:val="24"/>
          <w:rtl/>
        </w:rPr>
      </w:pPr>
      <w:r w:rsidRPr="001915FE">
        <w:rPr>
          <w:rFonts w:ascii="David" w:hAnsi="David" w:cs="David"/>
          <w:sz w:val="24"/>
          <w:szCs w:val="24"/>
          <w:rtl/>
        </w:rPr>
        <w:t>נסיבה זו נועדה לבטא את הסלידה החברתית המוגברת כלפי רצח שנעשה תוך התעללות גופנית או נפשית, או כשהמעשה נעשה באכזריות רבה. מאחר שכל רצח מעצם טיבו הוא אכזרי,  מוצע שנסיבה תכלול את הביטוי "אכזריות מיוחדת</w:t>
      </w:r>
      <w:r>
        <w:rPr>
          <w:rFonts w:ascii="David" w:hAnsi="David" w:cs="David" w:hint="cs"/>
          <w:sz w:val="24"/>
          <w:szCs w:val="24"/>
          <w:rtl/>
        </w:rPr>
        <w:t>"</w:t>
      </w:r>
      <w:r w:rsidRPr="001915FE">
        <w:rPr>
          <w:rFonts w:ascii="David" w:hAnsi="David" w:cs="David"/>
          <w:sz w:val="24"/>
          <w:szCs w:val="24"/>
        </w:rPr>
        <w:t xml:space="preserve"> .</w:t>
      </w:r>
    </w:p>
    <w:p w:rsidR="00380327" w:rsidRDefault="00380327" w:rsidP="00380327">
      <w:pPr>
        <w:spacing w:after="0" w:line="360" w:lineRule="auto"/>
        <w:jc w:val="both"/>
        <w:rPr>
          <w:rFonts w:ascii="David" w:hAnsi="David" w:cs="David"/>
          <w:sz w:val="24"/>
          <w:szCs w:val="24"/>
          <w:rtl/>
        </w:rPr>
      </w:pPr>
      <w:r>
        <w:rPr>
          <w:rFonts w:ascii="David" w:hAnsi="David" w:cs="David" w:hint="cs"/>
          <w:sz w:val="24"/>
          <w:szCs w:val="24"/>
          <w:rtl/>
        </w:rPr>
        <w:t xml:space="preserve">לעניין הרכיב השני- התעללות בקורבן-  נסיבה זו מופיעה כנסיבה מחמירה גם בעבירת האינוס בסעיף 345(ב) לחוק. </w:t>
      </w:r>
    </w:p>
    <w:p w:rsidR="00380327" w:rsidRDefault="00380327" w:rsidP="00380327">
      <w:pPr>
        <w:spacing w:after="0" w:line="360" w:lineRule="auto"/>
        <w:jc w:val="both"/>
        <w:rPr>
          <w:rFonts w:ascii="David" w:hAnsi="David" w:cs="David"/>
          <w:sz w:val="24"/>
          <w:szCs w:val="24"/>
          <w:rtl/>
        </w:rPr>
      </w:pPr>
      <w:r>
        <w:rPr>
          <w:rFonts w:ascii="David" w:hAnsi="David" w:cs="David" w:hint="cs"/>
          <w:sz w:val="24"/>
          <w:szCs w:val="24"/>
          <w:rtl/>
        </w:rPr>
        <w:t xml:space="preserve">יצוין כי אכזריות והתעללות בקורבן מופיעים גם כשיקולים שעל בית המשפט לשקול בעת קביעת מתחם העונש ההולם בכלל העבירות (סעיף 40ט לחוק). </w:t>
      </w:r>
    </w:p>
    <w:p w:rsidR="00380327" w:rsidRPr="001915FE" w:rsidRDefault="00380327" w:rsidP="00380327">
      <w:pPr>
        <w:spacing w:after="0" w:line="360" w:lineRule="auto"/>
        <w:jc w:val="both"/>
        <w:rPr>
          <w:rFonts w:ascii="David" w:hAnsi="David" w:cs="David"/>
          <w:sz w:val="24"/>
          <w:szCs w:val="24"/>
          <w:rtl/>
        </w:rPr>
      </w:pPr>
    </w:p>
    <w:p w:rsidR="00380327" w:rsidRDefault="00380327" w:rsidP="00380327">
      <w:pPr>
        <w:spacing w:before="120" w:after="0" w:line="360" w:lineRule="auto"/>
        <w:jc w:val="both"/>
        <w:rPr>
          <w:rFonts w:ascii="David" w:hAnsi="David" w:cs="David"/>
          <w:sz w:val="24"/>
          <w:szCs w:val="24"/>
          <w:rtl/>
        </w:rPr>
      </w:pPr>
      <w:r w:rsidRPr="00345F97">
        <w:rPr>
          <w:rFonts w:ascii="David" w:hAnsi="David" w:cs="David"/>
          <w:sz w:val="24"/>
          <w:szCs w:val="24"/>
          <w:rtl/>
        </w:rPr>
        <w:t xml:space="preserve">בדו"ח ועדת קרמניצר הוצע לקבוע נסיבה מחמירה </w:t>
      </w:r>
      <w:r>
        <w:rPr>
          <w:rFonts w:ascii="David" w:hAnsi="David" w:cs="David" w:hint="cs"/>
          <w:sz w:val="24"/>
          <w:szCs w:val="24"/>
          <w:rtl/>
        </w:rPr>
        <w:t xml:space="preserve">בנוסף גם מצב בו הרצח </w:t>
      </w:r>
      <w:r w:rsidRPr="00345F97">
        <w:rPr>
          <w:rFonts w:ascii="David" w:hAnsi="David" w:cs="David"/>
          <w:sz w:val="24"/>
          <w:szCs w:val="24"/>
          <w:rtl/>
        </w:rPr>
        <w:t xml:space="preserve">נעשה לשם סיפוק יצר המין או תאווה להמית, </w:t>
      </w:r>
      <w:r>
        <w:rPr>
          <w:rFonts w:ascii="David" w:hAnsi="David" w:cs="David" w:hint="cs"/>
          <w:sz w:val="24"/>
          <w:szCs w:val="24"/>
          <w:rtl/>
        </w:rPr>
        <w:t xml:space="preserve">מוצע לברר </w:t>
      </w:r>
      <w:r w:rsidRPr="00345F97">
        <w:rPr>
          <w:rFonts w:ascii="David" w:hAnsi="David" w:cs="David"/>
          <w:sz w:val="24"/>
          <w:szCs w:val="24"/>
          <w:rtl/>
        </w:rPr>
        <w:t xml:space="preserve">מדוע </w:t>
      </w:r>
      <w:r>
        <w:rPr>
          <w:rFonts w:ascii="David" w:hAnsi="David" w:cs="David" w:hint="cs"/>
          <w:sz w:val="24"/>
          <w:szCs w:val="24"/>
          <w:rtl/>
        </w:rPr>
        <w:t>הוחלט שלא לכלול נסיבה זו?</w:t>
      </w:r>
      <w:r w:rsidRPr="00345F97">
        <w:rPr>
          <w:rFonts w:ascii="David" w:hAnsi="David" w:cs="David"/>
          <w:sz w:val="24"/>
          <w:szCs w:val="24"/>
          <w:rtl/>
        </w:rPr>
        <w:t xml:space="preserve"> האם </w:t>
      </w:r>
      <w:r>
        <w:rPr>
          <w:rFonts w:ascii="David" w:hAnsi="David" w:cs="David" w:hint="cs"/>
          <w:sz w:val="24"/>
          <w:szCs w:val="24"/>
          <w:rtl/>
        </w:rPr>
        <w:t>מצבים כאמור נכללים</w:t>
      </w:r>
      <w:r w:rsidRPr="00345F97">
        <w:rPr>
          <w:rFonts w:ascii="David" w:hAnsi="David" w:cs="David"/>
          <w:sz w:val="24"/>
          <w:szCs w:val="24"/>
          <w:rtl/>
        </w:rPr>
        <w:t xml:space="preserve"> </w:t>
      </w:r>
      <w:r>
        <w:rPr>
          <w:rFonts w:ascii="David" w:hAnsi="David" w:cs="David" w:hint="cs"/>
          <w:sz w:val="24"/>
          <w:szCs w:val="24"/>
          <w:rtl/>
        </w:rPr>
        <w:t>ב</w:t>
      </w:r>
      <w:r w:rsidRPr="00345F97">
        <w:rPr>
          <w:rFonts w:ascii="David" w:hAnsi="David" w:cs="David"/>
          <w:sz w:val="24"/>
          <w:szCs w:val="24"/>
          <w:rtl/>
        </w:rPr>
        <w:t xml:space="preserve">כל מקרה </w:t>
      </w:r>
      <w:r>
        <w:rPr>
          <w:rFonts w:ascii="David" w:hAnsi="David" w:cs="David" w:hint="cs"/>
          <w:sz w:val="24"/>
          <w:szCs w:val="24"/>
          <w:rtl/>
        </w:rPr>
        <w:t>ב</w:t>
      </w:r>
      <w:r w:rsidRPr="00345F97">
        <w:rPr>
          <w:rFonts w:ascii="David" w:hAnsi="David" w:cs="David"/>
          <w:sz w:val="24"/>
          <w:szCs w:val="24"/>
          <w:rtl/>
        </w:rPr>
        <w:t>נסיבה המוצעת של אכזריות או התעללות בקורבן</w:t>
      </w:r>
      <w:r>
        <w:rPr>
          <w:rFonts w:ascii="David" w:hAnsi="David" w:cs="David" w:hint="cs"/>
          <w:sz w:val="24"/>
          <w:szCs w:val="24"/>
          <w:rtl/>
        </w:rPr>
        <w:t>?</w:t>
      </w:r>
      <w:r w:rsidRPr="00676E0B">
        <w:rPr>
          <w:rFonts w:ascii="David" w:hAnsi="David" w:cs="David" w:hint="cs"/>
          <w:sz w:val="24"/>
          <w:szCs w:val="24"/>
          <w:highlight w:val="yellow"/>
          <w:rtl/>
        </w:rPr>
        <w:t xml:space="preserve"> </w:t>
      </w:r>
    </w:p>
    <w:p w:rsidR="00380327" w:rsidRPr="00345F97" w:rsidRDefault="00380327" w:rsidP="00380327">
      <w:pPr>
        <w:spacing w:before="120" w:after="0" w:line="360" w:lineRule="auto"/>
        <w:jc w:val="both"/>
        <w:rPr>
          <w:rFonts w:ascii="David" w:hAnsi="David" w:cs="David"/>
          <w:sz w:val="24"/>
          <w:szCs w:val="24"/>
          <w:rtl/>
        </w:rPr>
      </w:pPr>
      <w:r>
        <w:rPr>
          <w:rFonts w:ascii="David" w:hAnsi="David" w:cs="David" w:hint="cs"/>
          <w:sz w:val="24"/>
          <w:szCs w:val="24"/>
          <w:rtl/>
        </w:rPr>
        <w:t>בנוסף, מוצע לדון בשאלה אם לקבוע כנסיבה מחמירה גם התעללות גופנית או נפשית בקורבן בתקופה שקדמה לרצח.</w:t>
      </w:r>
    </w:p>
    <w:p w:rsidR="00380327" w:rsidRDefault="00380327" w:rsidP="00380327">
      <w:pPr>
        <w:pStyle w:val="a4"/>
        <w:numPr>
          <w:ilvl w:val="0"/>
          <w:numId w:val="4"/>
        </w:numPr>
        <w:spacing w:before="120" w:after="0" w:line="360" w:lineRule="auto"/>
        <w:jc w:val="both"/>
        <w:rPr>
          <w:rFonts w:ascii="David" w:hAnsi="David" w:cs="David"/>
          <w:b/>
          <w:bCs/>
          <w:sz w:val="24"/>
          <w:szCs w:val="24"/>
        </w:rPr>
      </w:pPr>
      <w:r w:rsidRPr="00571C52">
        <w:rPr>
          <w:rFonts w:ascii="David" w:hAnsi="David" w:cs="David"/>
          <w:b/>
          <w:bCs/>
          <w:sz w:val="24"/>
          <w:szCs w:val="24"/>
          <w:rtl/>
        </w:rPr>
        <w:t xml:space="preserve">הקורבן הוא קטין שעובר העבירה אחראי עליו </w:t>
      </w:r>
    </w:p>
    <w:p w:rsidR="00380327" w:rsidRDefault="00380327" w:rsidP="00380327">
      <w:pPr>
        <w:spacing w:before="120" w:after="0" w:line="360" w:lineRule="auto"/>
        <w:jc w:val="both"/>
        <w:rPr>
          <w:rFonts w:ascii="David" w:hAnsi="David" w:cs="David"/>
          <w:b/>
          <w:bCs/>
          <w:sz w:val="24"/>
          <w:szCs w:val="24"/>
          <w:rtl/>
        </w:rPr>
      </w:pPr>
      <w:r>
        <w:rPr>
          <w:rFonts w:ascii="David" w:hAnsi="David" w:cs="David" w:hint="cs"/>
          <w:sz w:val="24"/>
          <w:szCs w:val="24"/>
          <w:rtl/>
        </w:rPr>
        <w:t xml:space="preserve">מוצע לקבוע כנסיבה מחמירה מצב בו </w:t>
      </w:r>
      <w:r w:rsidRPr="00571C52">
        <w:rPr>
          <w:rFonts w:ascii="David" w:hAnsi="David" w:cs="David"/>
          <w:sz w:val="24"/>
          <w:szCs w:val="24"/>
          <w:rtl/>
        </w:rPr>
        <w:t>הקורבן הוא קטין שעובר העבירה אחראי עליו כהגדרת "אחראי על קטין או חסר ישע" בסעיף 368א</w:t>
      </w:r>
      <w:r w:rsidRPr="00571C52">
        <w:rPr>
          <w:rFonts w:ascii="David" w:hAnsi="David" w:cs="David" w:hint="cs"/>
          <w:sz w:val="24"/>
          <w:szCs w:val="24"/>
          <w:rtl/>
        </w:rPr>
        <w:t>.</w:t>
      </w:r>
      <w:r>
        <w:rPr>
          <w:rFonts w:ascii="David" w:hAnsi="David" w:cs="David" w:hint="cs"/>
          <w:b/>
          <w:bCs/>
          <w:sz w:val="24"/>
          <w:szCs w:val="24"/>
          <w:rtl/>
        </w:rPr>
        <w:t xml:space="preserve"> </w:t>
      </w:r>
    </w:p>
    <w:p w:rsidR="00380327" w:rsidRPr="00DA305E" w:rsidRDefault="00380327" w:rsidP="00380327">
      <w:pPr>
        <w:spacing w:before="120" w:after="0" w:line="360" w:lineRule="auto"/>
        <w:jc w:val="both"/>
        <w:rPr>
          <w:rFonts w:ascii="David" w:hAnsi="David" w:cs="David"/>
          <w:sz w:val="24"/>
          <w:szCs w:val="24"/>
        </w:rPr>
      </w:pPr>
      <w:r>
        <w:rPr>
          <w:rFonts w:ascii="David" w:hAnsi="David" w:cs="David" w:hint="cs"/>
          <w:sz w:val="24"/>
          <w:szCs w:val="24"/>
          <w:rtl/>
        </w:rPr>
        <w:t>אחראי על קטין או חסר ישע מוגדר בסעיף 368א כ</w:t>
      </w:r>
      <w:r w:rsidRPr="00DA305E">
        <w:rPr>
          <w:rFonts w:ascii="David" w:hAnsi="David" w:cs="David"/>
          <w:sz w:val="24"/>
          <w:szCs w:val="24"/>
          <w:rtl/>
        </w:rPr>
        <w:t>כל אחד מאלה:</w:t>
      </w:r>
    </w:p>
    <w:p w:rsidR="00380327" w:rsidRPr="00DA305E" w:rsidRDefault="00380327" w:rsidP="00380327">
      <w:pPr>
        <w:spacing w:before="120" w:after="0" w:line="360" w:lineRule="auto"/>
        <w:jc w:val="both"/>
        <w:rPr>
          <w:rFonts w:ascii="David" w:hAnsi="David" w:cs="David"/>
          <w:sz w:val="24"/>
          <w:szCs w:val="24"/>
          <w:rtl/>
        </w:rPr>
      </w:pPr>
      <w:r>
        <w:rPr>
          <w:rFonts w:ascii="David" w:hAnsi="David" w:cs="David" w:hint="cs"/>
          <w:sz w:val="24"/>
          <w:szCs w:val="24"/>
          <w:rtl/>
        </w:rPr>
        <w:t>"</w:t>
      </w:r>
      <w:r w:rsidRPr="00DA305E">
        <w:rPr>
          <w:rFonts w:ascii="David" w:hAnsi="David" w:cs="David"/>
          <w:sz w:val="24"/>
          <w:szCs w:val="24"/>
          <w:rtl/>
        </w:rPr>
        <w:t>(1)   הורה או מי שעליו האחריות לצרכי מחייתו, לבריאותו, לחינוכו או לשלומו של קטין או של חסר ישע - מכוח דין, החלטה שיפוטית, חוזה מפורש או מכללא, או מי שעליו האחריות כאמור לקטין או לחסר ישע מחמת מעשה כשר או אסור שלו;</w:t>
      </w:r>
    </w:p>
    <w:p w:rsidR="00380327" w:rsidRPr="00DA305E" w:rsidRDefault="00380327" w:rsidP="00380327">
      <w:pPr>
        <w:spacing w:before="120" w:after="0" w:line="360" w:lineRule="auto"/>
        <w:jc w:val="both"/>
        <w:rPr>
          <w:rFonts w:ascii="David" w:hAnsi="David" w:cs="David"/>
          <w:sz w:val="24"/>
          <w:szCs w:val="24"/>
          <w:rtl/>
        </w:rPr>
      </w:pPr>
      <w:r w:rsidRPr="00DA305E">
        <w:rPr>
          <w:rFonts w:ascii="David" w:hAnsi="David" w:cs="David"/>
          <w:sz w:val="24"/>
          <w:szCs w:val="24"/>
          <w:rtl/>
        </w:rPr>
        <w:t xml:space="preserve"> (2)   בן משפחה של קטין או של חסר ישע, שמלאו לו שמונה עשרה שנים ואיננו חסר ישע, והוא אחד מאלה: בן זוגו של הורו, סבו או סבתו, צאצאו, אחיו או אחותו, גיסו או גיסתו, דודו או דודתו, בן זוגו של אומן, וכן הורהו של אומן, צאצאו של אומן, אחיו או אחותו של אומן ובן זוגו של כל אחד מאלה;</w:t>
      </w:r>
    </w:p>
    <w:p w:rsidR="00380327" w:rsidRPr="00DA305E" w:rsidRDefault="00380327" w:rsidP="00380327">
      <w:pPr>
        <w:spacing w:before="120" w:after="0" w:line="360" w:lineRule="auto"/>
        <w:jc w:val="both"/>
        <w:rPr>
          <w:rFonts w:ascii="David" w:hAnsi="David" w:cs="David"/>
          <w:sz w:val="24"/>
          <w:szCs w:val="24"/>
          <w:rtl/>
        </w:rPr>
      </w:pPr>
      <w:r w:rsidRPr="00DA305E">
        <w:rPr>
          <w:rFonts w:ascii="David" w:hAnsi="David" w:cs="David"/>
          <w:sz w:val="24"/>
          <w:szCs w:val="24"/>
          <w:rtl/>
        </w:rPr>
        <w:t>(3)   מי שהקטין או חסר הישע מתגורר עמו או נמצא עמו דרך קבע, ומלאו לו שמונה עשרה שנים; ובלבד שקיימים ביניהם יחסי תלות או מרות.</w:t>
      </w:r>
      <w:r>
        <w:rPr>
          <w:rFonts w:ascii="David" w:hAnsi="David" w:cs="David" w:hint="cs"/>
          <w:sz w:val="24"/>
          <w:szCs w:val="24"/>
          <w:rtl/>
        </w:rPr>
        <w:t>".</w:t>
      </w:r>
    </w:p>
    <w:p w:rsidR="00380327" w:rsidRDefault="00380327" w:rsidP="00380327">
      <w:pPr>
        <w:spacing w:before="120" w:after="0" w:line="360" w:lineRule="auto"/>
        <w:jc w:val="both"/>
        <w:rPr>
          <w:rFonts w:ascii="David" w:hAnsi="David" w:cs="David"/>
          <w:sz w:val="24"/>
          <w:szCs w:val="24"/>
          <w:rtl/>
        </w:rPr>
      </w:pPr>
    </w:p>
    <w:p w:rsidR="00380327" w:rsidRDefault="00380327" w:rsidP="00380327">
      <w:pPr>
        <w:spacing w:before="120" w:after="0" w:line="360" w:lineRule="auto"/>
        <w:jc w:val="both"/>
        <w:rPr>
          <w:rFonts w:ascii="David" w:hAnsi="David" w:cs="David" w:hint="cs"/>
          <w:sz w:val="24"/>
          <w:szCs w:val="24"/>
          <w:rtl/>
        </w:rPr>
      </w:pPr>
      <w:r w:rsidRPr="00B21E20">
        <w:rPr>
          <w:rFonts w:ascii="David" w:hAnsi="David" w:cs="David" w:hint="cs"/>
          <w:sz w:val="24"/>
          <w:szCs w:val="24"/>
          <w:rtl/>
        </w:rPr>
        <w:t xml:space="preserve">לפי דברי ההסבר, נסיבה זו מבטאת </w:t>
      </w:r>
      <w:r w:rsidRPr="00B21E20">
        <w:rPr>
          <w:rFonts w:ascii="David" w:hAnsi="David" w:cs="David"/>
          <w:sz w:val="24"/>
          <w:szCs w:val="24"/>
          <w:rtl/>
        </w:rPr>
        <w:t>את ההגנה המוגברת שהחוק מעניק לקורבנות שהם פגיעים במיוחד. החומרה במקרה זה נובעת לא רק מהיותו של הקורבן חלש, אלא גם מהפרת האמון והמעילה בתפקיד מצד הפוגע, האמור להיות אחראי על רווחתו של הקורב</w:t>
      </w:r>
      <w:r w:rsidRPr="00B21E20">
        <w:rPr>
          <w:rFonts w:ascii="David" w:hAnsi="David" w:cs="David" w:hint="cs"/>
          <w:sz w:val="24"/>
          <w:szCs w:val="24"/>
          <w:rtl/>
        </w:rPr>
        <w:t>ן</w:t>
      </w:r>
      <w:r>
        <w:rPr>
          <w:rFonts w:ascii="David" w:hAnsi="David" w:cs="David"/>
          <w:sz w:val="24"/>
          <w:szCs w:val="24"/>
        </w:rPr>
        <w:t xml:space="preserve"> </w:t>
      </w:r>
      <w:r>
        <w:rPr>
          <w:rFonts w:ascii="David" w:hAnsi="David" w:cs="David" w:hint="cs"/>
          <w:sz w:val="24"/>
          <w:szCs w:val="24"/>
          <w:rtl/>
        </w:rPr>
        <w:t xml:space="preserve">. </w:t>
      </w:r>
    </w:p>
    <w:p w:rsidR="00380327" w:rsidRDefault="00380327" w:rsidP="00380327">
      <w:pPr>
        <w:spacing w:before="120" w:after="0" w:line="360" w:lineRule="auto"/>
        <w:jc w:val="both"/>
        <w:rPr>
          <w:rFonts w:ascii="David" w:hAnsi="David" w:cs="David"/>
          <w:sz w:val="24"/>
          <w:szCs w:val="24"/>
          <w:rtl/>
        </w:rPr>
      </w:pPr>
      <w:r>
        <w:rPr>
          <w:rFonts w:ascii="David" w:hAnsi="David" w:cs="David" w:hint="cs"/>
          <w:sz w:val="24"/>
          <w:szCs w:val="24"/>
          <w:rtl/>
        </w:rPr>
        <w:t>ולכך גם ניתן להוסיף שמדובר בקטין שבדרך כלל תלוי באותו אדם שאחראי עליו דבר שמגביר בנוסף את חולשתו מולו.</w:t>
      </w:r>
    </w:p>
    <w:p w:rsidR="00380327" w:rsidRDefault="00380327" w:rsidP="00380327">
      <w:pPr>
        <w:spacing w:before="120" w:after="0" w:line="360" w:lineRule="auto"/>
        <w:jc w:val="both"/>
        <w:rPr>
          <w:rFonts w:ascii="David" w:hAnsi="David" w:cs="David"/>
          <w:sz w:val="24"/>
          <w:szCs w:val="24"/>
          <w:rtl/>
        </w:rPr>
      </w:pPr>
      <w:r>
        <w:rPr>
          <w:rFonts w:ascii="David" w:hAnsi="David" w:cs="David" w:hint="cs"/>
          <w:sz w:val="24"/>
          <w:szCs w:val="24"/>
          <w:rtl/>
        </w:rPr>
        <w:t xml:space="preserve">מוצע לדון בנסיבה מחמירה זו. מוצע לדון בשאלה אם יש לקבוע נסיבה מחמירה על כל פגיעה כאמור בקטין ולא רק על ידי אחראי על הקטין. יודגש בהקשר זה כי הגדרת "אחראי על הקטין" כוללת, כאמור, גם בני משפחה בגירים שאינם הוריו של הקטין וגם עשוי לכלול מורים וגורמים נוספים שיש להם אחריות מסוימת על הקטין. </w:t>
      </w:r>
    </w:p>
    <w:p w:rsidR="00380327" w:rsidRDefault="00380327" w:rsidP="00380327">
      <w:pPr>
        <w:spacing w:before="120" w:after="0" w:line="360" w:lineRule="auto"/>
        <w:jc w:val="both"/>
        <w:rPr>
          <w:rFonts w:ascii="David" w:hAnsi="David" w:cs="David"/>
          <w:sz w:val="24"/>
          <w:szCs w:val="24"/>
          <w:rtl/>
        </w:rPr>
      </w:pPr>
      <w:r>
        <w:rPr>
          <w:rFonts w:ascii="David" w:hAnsi="David" w:cs="David" w:hint="cs"/>
          <w:sz w:val="24"/>
          <w:szCs w:val="24"/>
          <w:rtl/>
        </w:rPr>
        <w:t xml:space="preserve">נקודה נוספת שיש להתייחס אליה בהקשר זה היא לעניין העבירה הקיימת היום של המתת תינוק </w:t>
      </w:r>
      <w:r>
        <w:rPr>
          <w:rFonts w:ascii="David" w:hAnsi="David" w:cs="David"/>
          <w:sz w:val="24"/>
          <w:szCs w:val="24"/>
          <w:rtl/>
        </w:rPr>
        <w:t>–</w:t>
      </w:r>
      <w:r>
        <w:rPr>
          <w:rFonts w:ascii="David" w:hAnsi="David" w:cs="David" w:hint="cs"/>
          <w:sz w:val="24"/>
          <w:szCs w:val="24"/>
          <w:rtl/>
        </w:rPr>
        <w:t xml:space="preserve"> חוק העונשין בנוסחו כיום קובע בסעיף 303 עבירה של המתת תינוק. לפי סעיף זה, המתה של תינוק שטרם מלאו לו 12 חודשים על ידי אמו בשל מצבה הנפשי לאחר הלידה ייחשב למעשה כעבירה קלה יותר שלצדה חמש שנות מאסר. כעת, מוצע לבטל סעיף זה (בכך נדון בהמשך). אולם, לעניינו יש להביא בחשבון שאם העבירה של המתת תינוק תבוטל אזי מקרה כאמור לא רק שיהווה רצח (אלא אם כן האם מעוררת בנפשה במידה שתכנס תחת האחריות המופחתת, שגם בה נדון בהמשך), אלא שהוא יהווה רצח בנסיבות מחמירות. </w:t>
      </w:r>
    </w:p>
    <w:p w:rsidR="00380327" w:rsidRPr="004E7C59" w:rsidRDefault="00380327" w:rsidP="00380327">
      <w:pPr>
        <w:spacing w:after="0" w:line="360" w:lineRule="auto"/>
        <w:jc w:val="both"/>
        <w:rPr>
          <w:rFonts w:ascii="David" w:hAnsi="David" w:cs="David" w:hint="cs"/>
          <w:sz w:val="24"/>
          <w:szCs w:val="24"/>
          <w:highlight w:val="yellow"/>
          <w:rtl/>
        </w:rPr>
      </w:pPr>
    </w:p>
    <w:p w:rsidR="00380327" w:rsidRDefault="00380327" w:rsidP="00380327">
      <w:pPr>
        <w:spacing w:before="120" w:after="0" w:line="360" w:lineRule="auto"/>
        <w:jc w:val="both"/>
        <w:rPr>
          <w:rFonts w:ascii="David" w:hAnsi="David" w:cs="David"/>
          <w:sz w:val="24"/>
          <w:szCs w:val="24"/>
          <w:rtl/>
        </w:rPr>
      </w:pPr>
    </w:p>
    <w:p w:rsidR="00380327" w:rsidRDefault="00380327" w:rsidP="00380327">
      <w:pPr>
        <w:pStyle w:val="a4"/>
        <w:numPr>
          <w:ilvl w:val="0"/>
          <w:numId w:val="4"/>
        </w:numPr>
        <w:spacing w:after="0" w:line="360" w:lineRule="auto"/>
        <w:rPr>
          <w:rFonts w:ascii="David" w:hAnsi="David" w:cs="David"/>
          <w:b/>
          <w:bCs/>
          <w:sz w:val="24"/>
          <w:szCs w:val="24"/>
        </w:rPr>
      </w:pPr>
      <w:r>
        <w:rPr>
          <w:rFonts w:ascii="David" w:hAnsi="David" w:cs="David"/>
          <w:b/>
          <w:bCs/>
          <w:sz w:val="24"/>
          <w:szCs w:val="24"/>
          <w:rtl/>
        </w:rPr>
        <w:t>הקורבן הוא חסר ישע</w:t>
      </w:r>
    </w:p>
    <w:p w:rsidR="00380327" w:rsidRDefault="00380327" w:rsidP="00380327">
      <w:pPr>
        <w:spacing w:after="0" w:line="360" w:lineRule="auto"/>
        <w:jc w:val="both"/>
        <w:rPr>
          <w:rFonts w:ascii="David" w:hAnsi="David" w:cs="David"/>
          <w:sz w:val="24"/>
          <w:szCs w:val="24"/>
          <w:rtl/>
        </w:rPr>
      </w:pPr>
      <w:r>
        <w:rPr>
          <w:rFonts w:ascii="David" w:hAnsi="David" w:cs="David" w:hint="cs"/>
          <w:sz w:val="24"/>
          <w:szCs w:val="24"/>
          <w:rtl/>
        </w:rPr>
        <w:t>חסר ישע מוגדר בסעיף</w:t>
      </w:r>
      <w:r w:rsidRPr="00222998">
        <w:rPr>
          <w:rFonts w:ascii="David" w:hAnsi="David" w:cs="David"/>
          <w:sz w:val="24"/>
          <w:szCs w:val="24"/>
          <w:rtl/>
        </w:rPr>
        <w:t xml:space="preserve"> 368א לחוק העונשין</w:t>
      </w:r>
      <w:r>
        <w:rPr>
          <w:rFonts w:ascii="David" w:hAnsi="David" w:cs="David" w:hint="cs"/>
          <w:sz w:val="24"/>
          <w:szCs w:val="24"/>
          <w:rtl/>
        </w:rPr>
        <w:t xml:space="preserve"> כ</w:t>
      </w:r>
      <w:r w:rsidRPr="00A47963">
        <w:rPr>
          <w:rFonts w:ascii="David" w:hAnsi="David" w:cs="David" w:hint="cs"/>
          <w:sz w:val="24"/>
          <w:szCs w:val="24"/>
          <w:rtl/>
        </w:rPr>
        <w:t>"</w:t>
      </w:r>
      <w:r w:rsidRPr="00A47963">
        <w:rPr>
          <w:rFonts w:ascii="David" w:hAnsi="David" w:cs="David"/>
          <w:sz w:val="24"/>
          <w:szCs w:val="24"/>
          <w:rtl/>
        </w:rPr>
        <w:t>מי שמחמת גילו, מחלתו או מוגבלותו הגופנית או הנפשית, ליקויו השכלי או מכל סיבה אחרת, אינו יכול לדאוג לצרכי מחייתו, לבריאותו או לשלומו</w:t>
      </w:r>
      <w:r w:rsidRPr="00A47963">
        <w:rPr>
          <w:rFonts w:ascii="David" w:hAnsi="David" w:cs="David" w:hint="cs"/>
          <w:sz w:val="24"/>
          <w:szCs w:val="24"/>
          <w:rtl/>
        </w:rPr>
        <w:t>"</w:t>
      </w:r>
      <w:r>
        <w:rPr>
          <w:rFonts w:ascii="David" w:hAnsi="David" w:cs="David" w:hint="cs"/>
          <w:sz w:val="24"/>
          <w:szCs w:val="24"/>
          <w:rtl/>
        </w:rPr>
        <w:t>.</w:t>
      </w:r>
      <w:r w:rsidRPr="00222998">
        <w:rPr>
          <w:rFonts w:ascii="David" w:hAnsi="David" w:cs="David"/>
          <w:sz w:val="24"/>
          <w:szCs w:val="24"/>
          <w:rtl/>
        </w:rPr>
        <w:t xml:space="preserve"> אוכלוסיית חסרי הישע היא אוכלוסייה חלשה באופן מיוח</w:t>
      </w:r>
      <w:r>
        <w:rPr>
          <w:rFonts w:ascii="David" w:hAnsi="David" w:cs="David" w:hint="cs"/>
          <w:sz w:val="24"/>
          <w:szCs w:val="24"/>
          <w:rtl/>
        </w:rPr>
        <w:t>ד,</w:t>
      </w:r>
      <w:r w:rsidRPr="00222998">
        <w:rPr>
          <w:rFonts w:ascii="David" w:hAnsi="David" w:cs="David"/>
          <w:sz w:val="24"/>
          <w:szCs w:val="24"/>
        </w:rPr>
        <w:t xml:space="preserve"> </w:t>
      </w:r>
      <w:r w:rsidRPr="00222998">
        <w:rPr>
          <w:rFonts w:ascii="David" w:hAnsi="David" w:cs="David"/>
          <w:sz w:val="24"/>
          <w:szCs w:val="24"/>
          <w:rtl/>
        </w:rPr>
        <w:t xml:space="preserve">התלויה באחרים לצורך מילוי צרכים בסיסיים. </w:t>
      </w:r>
      <w:r>
        <w:rPr>
          <w:rFonts w:ascii="David" w:hAnsi="David" w:cs="David" w:hint="cs"/>
          <w:sz w:val="24"/>
          <w:szCs w:val="24"/>
          <w:rtl/>
        </w:rPr>
        <w:t xml:space="preserve">כפי שעולה מדברי ההסבר, </w:t>
      </w:r>
      <w:r w:rsidRPr="00222998">
        <w:rPr>
          <w:rFonts w:ascii="David" w:hAnsi="David" w:cs="David"/>
          <w:sz w:val="24"/>
          <w:szCs w:val="24"/>
          <w:rtl/>
        </w:rPr>
        <w:t xml:space="preserve">המתתו של חסר ישע מבטאת זלזול חמור במיוחד </w:t>
      </w:r>
      <w:r>
        <w:rPr>
          <w:rFonts w:ascii="David" w:hAnsi="David" w:cs="David"/>
          <w:sz w:val="24"/>
          <w:szCs w:val="24"/>
          <w:rtl/>
        </w:rPr>
        <w:t>בערכים בסיסיים של אנושיות ב</w:t>
      </w:r>
      <w:r w:rsidRPr="00222998">
        <w:rPr>
          <w:rFonts w:ascii="David" w:hAnsi="David" w:cs="David"/>
          <w:sz w:val="24"/>
          <w:szCs w:val="24"/>
          <w:rtl/>
        </w:rPr>
        <w:t>מקום בו היחס האנושי המצופה הוא דווקא יחס של חמלה.</w:t>
      </w:r>
    </w:p>
    <w:p w:rsidR="00380327" w:rsidRDefault="00380327" w:rsidP="00380327">
      <w:pPr>
        <w:spacing w:after="0" w:line="360" w:lineRule="auto"/>
        <w:jc w:val="both"/>
        <w:rPr>
          <w:rFonts w:ascii="David" w:hAnsi="David" w:cs="David"/>
          <w:sz w:val="24"/>
          <w:szCs w:val="24"/>
          <w:rtl/>
        </w:rPr>
      </w:pPr>
      <w:r>
        <w:rPr>
          <w:rFonts w:ascii="David" w:hAnsi="David" w:cs="David" w:hint="cs"/>
          <w:sz w:val="24"/>
          <w:szCs w:val="24"/>
          <w:rtl/>
        </w:rPr>
        <w:t>ואולם, בשונה מהנסיבה המחמירה של רצח קטין, מוצע כאן שלא להגביל את ביצוע הרצח רק לאחראי על חסר הישע אלא לכל אדם. הגדרה של חסר ישע כוללת גם ילדים צעירים מאד ועל כן חלה גם ביחס אליהם על כל אדם.</w:t>
      </w:r>
    </w:p>
    <w:p w:rsidR="00380327" w:rsidRDefault="00380327" w:rsidP="00380327">
      <w:pPr>
        <w:spacing w:after="0" w:line="360" w:lineRule="auto"/>
        <w:jc w:val="both"/>
        <w:rPr>
          <w:rFonts w:ascii="David" w:hAnsi="David" w:cs="David"/>
          <w:sz w:val="24"/>
          <w:szCs w:val="24"/>
          <w:rtl/>
        </w:rPr>
      </w:pPr>
      <w:r>
        <w:rPr>
          <w:rFonts w:ascii="David" w:hAnsi="David" w:cs="David" w:hint="cs"/>
          <w:sz w:val="24"/>
          <w:szCs w:val="24"/>
          <w:rtl/>
        </w:rPr>
        <w:t xml:space="preserve">לעניין זה, מתעוררות מספר דילמות </w:t>
      </w:r>
      <w:r>
        <w:rPr>
          <w:rFonts w:ascii="David" w:hAnsi="David" w:cs="David"/>
          <w:sz w:val="24"/>
          <w:szCs w:val="24"/>
          <w:rtl/>
        </w:rPr>
        <w:t>–</w:t>
      </w:r>
      <w:r>
        <w:rPr>
          <w:rFonts w:ascii="David" w:hAnsi="David" w:cs="David" w:hint="cs"/>
          <w:sz w:val="24"/>
          <w:szCs w:val="24"/>
          <w:rtl/>
        </w:rPr>
        <w:t xml:space="preserve"> </w:t>
      </w:r>
    </w:p>
    <w:p w:rsidR="00380327" w:rsidRDefault="00380327" w:rsidP="00380327">
      <w:pPr>
        <w:spacing w:after="0" w:line="360" w:lineRule="auto"/>
        <w:jc w:val="both"/>
        <w:rPr>
          <w:rFonts w:ascii="David" w:hAnsi="David" w:cs="David"/>
          <w:sz w:val="24"/>
          <w:szCs w:val="24"/>
          <w:rtl/>
        </w:rPr>
      </w:pPr>
      <w:r>
        <w:rPr>
          <w:rFonts w:ascii="David" w:hAnsi="David" w:cs="David" w:hint="cs"/>
          <w:sz w:val="24"/>
          <w:szCs w:val="24"/>
          <w:rtl/>
        </w:rPr>
        <w:t>האחת, האם במקרה בו הרצח לא נעשה לאחר שקילה (אז הוא נכנס ממילא לנסיבה המחמירה הראשונה), האם אז ראוי לקבוע זאת כנסיבה מחמירה שהרי יתכן שהרוצח כלל לא התייחס באופן מיוחד להיותו של האדם חסר ישע? מה קורה במצב בו הרוצח מודע לכך שהאדם חסר ישע אך לא היה לכך משקל מבחינתו לקולא או לחומרה, למשל מצב בו הוא פוגע במספר אנשים?</w:t>
      </w:r>
    </w:p>
    <w:p w:rsidR="00380327" w:rsidRDefault="00380327" w:rsidP="00380327">
      <w:pPr>
        <w:spacing w:after="0" w:line="360" w:lineRule="auto"/>
        <w:jc w:val="both"/>
        <w:rPr>
          <w:rFonts w:ascii="David" w:hAnsi="David" w:cs="David"/>
          <w:sz w:val="24"/>
          <w:szCs w:val="24"/>
        </w:rPr>
      </w:pPr>
      <w:r>
        <w:rPr>
          <w:rFonts w:ascii="David" w:hAnsi="David" w:cs="David" w:hint="cs"/>
          <w:sz w:val="24"/>
          <w:szCs w:val="24"/>
          <w:rtl/>
        </w:rPr>
        <w:t xml:space="preserve">דילמה נוספת מתעוררת לעניין ההצדקה והקושי בקביעת הבחנה המבוססת על זהות הקורבן. מחד, כפי שנטען, ברצח של חסר ישע יש משום זלזול חמור בערכים בסיסיים של אנושיות ואכן הציפייה היא לחמלה. מאידך, האם כאשר מדובר על חיי אדם, האם לא ברוב עבירות הרצח יש זלזול חמור בערכים בסיסים של אנושיות? האם אין קושי בקביעה כי חיי חסר ישע שונים מערך חייו של כל אדם? שהרי אם מדובר במקרה חמור במיוחד של ניצול ופגיעה באדם חסר ישע לחלוטין,  האם הרצח לא ייכלל בנסיבה של אכזריות מיוחדת בכל מקרה? </w:t>
      </w:r>
    </w:p>
    <w:p w:rsidR="00380327" w:rsidRDefault="00380327" w:rsidP="00380327">
      <w:pPr>
        <w:spacing w:after="0" w:line="360" w:lineRule="auto"/>
        <w:jc w:val="both"/>
        <w:rPr>
          <w:rFonts w:ascii="David" w:hAnsi="David" w:cs="David"/>
          <w:sz w:val="24"/>
          <w:szCs w:val="24"/>
          <w:rtl/>
        </w:rPr>
      </w:pPr>
      <w:r>
        <w:rPr>
          <w:rFonts w:ascii="David" w:hAnsi="David" w:cs="David" w:hint="cs"/>
          <w:sz w:val="24"/>
          <w:szCs w:val="24"/>
          <w:rtl/>
        </w:rPr>
        <w:t>שאלה נוספת שיש להידרש אליה היא מי הכוונה שייחשב כחסר ישע לצורך נסיבה זו.</w:t>
      </w:r>
    </w:p>
    <w:p w:rsidR="00380327" w:rsidRPr="000B335A" w:rsidRDefault="00380327" w:rsidP="00380327">
      <w:pPr>
        <w:spacing w:after="0" w:line="360" w:lineRule="auto"/>
        <w:jc w:val="both"/>
        <w:rPr>
          <w:rFonts w:ascii="David" w:hAnsi="David" w:cs="David"/>
          <w:sz w:val="24"/>
          <w:szCs w:val="24"/>
        </w:rPr>
      </w:pPr>
    </w:p>
    <w:p w:rsidR="00380327" w:rsidRPr="00137606" w:rsidRDefault="00380327" w:rsidP="00380327">
      <w:pPr>
        <w:pStyle w:val="a4"/>
        <w:numPr>
          <w:ilvl w:val="0"/>
          <w:numId w:val="4"/>
        </w:numPr>
        <w:spacing w:after="0" w:line="360" w:lineRule="auto"/>
        <w:rPr>
          <w:rFonts w:ascii="David" w:hAnsi="David" w:cs="David"/>
          <w:b/>
          <w:bCs/>
          <w:sz w:val="24"/>
          <w:szCs w:val="24"/>
        </w:rPr>
      </w:pPr>
      <w:r w:rsidRPr="00137606">
        <w:rPr>
          <w:rFonts w:ascii="David" w:hAnsi="David" w:cs="David"/>
          <w:b/>
          <w:bCs/>
          <w:sz w:val="24"/>
          <w:szCs w:val="24"/>
          <w:rtl/>
        </w:rPr>
        <w:t xml:space="preserve">המעשה בוצע תוך יצירת סכנה ממשית לפגיעה חמורה </w:t>
      </w:r>
      <w:r>
        <w:rPr>
          <w:rFonts w:ascii="David" w:hAnsi="David" w:cs="David"/>
          <w:b/>
          <w:bCs/>
          <w:sz w:val="24"/>
          <w:szCs w:val="24"/>
          <w:rtl/>
        </w:rPr>
        <w:t>בגופו של אדם נוסף על הקורבן</w:t>
      </w:r>
    </w:p>
    <w:p w:rsidR="00380327" w:rsidRDefault="00380327" w:rsidP="00380327">
      <w:pPr>
        <w:spacing w:after="0" w:line="360" w:lineRule="auto"/>
        <w:jc w:val="both"/>
        <w:rPr>
          <w:rFonts w:ascii="David" w:hAnsi="David" w:cs="David"/>
          <w:sz w:val="24"/>
          <w:szCs w:val="24"/>
          <w:rtl/>
        </w:rPr>
      </w:pPr>
      <w:r w:rsidRPr="00CE3FFE">
        <w:rPr>
          <w:rFonts w:ascii="David" w:hAnsi="David" w:cs="David" w:hint="cs"/>
          <w:sz w:val="24"/>
          <w:szCs w:val="24"/>
          <w:rtl/>
        </w:rPr>
        <w:t xml:space="preserve">לפי דברי ההסבר, </w:t>
      </w:r>
      <w:r w:rsidRPr="00CE3FFE">
        <w:rPr>
          <w:rFonts w:ascii="David" w:hAnsi="David" w:cs="David"/>
          <w:sz w:val="24"/>
          <w:szCs w:val="24"/>
          <w:rtl/>
        </w:rPr>
        <w:t xml:space="preserve"> במקרה זה הפגיעה בערך של חיי אדם קשה יותר, משום שהעושה חושף אנשים נוספים פרט לקרבן לסכנה של פגיעה חמורה</w:t>
      </w:r>
      <w:r w:rsidRPr="00CE3FFE">
        <w:rPr>
          <w:rFonts w:ascii="David" w:hAnsi="David" w:cs="David" w:hint="cs"/>
          <w:sz w:val="24"/>
          <w:szCs w:val="24"/>
          <w:rtl/>
        </w:rPr>
        <w:t xml:space="preserve">. יודגש כי </w:t>
      </w:r>
      <w:r w:rsidRPr="00CE3FFE">
        <w:rPr>
          <w:rFonts w:ascii="David" w:hAnsi="David" w:cs="David"/>
          <w:sz w:val="24"/>
          <w:szCs w:val="24"/>
          <w:rtl/>
        </w:rPr>
        <w:t>הנסיבה המחמירה המוצעת</w:t>
      </w:r>
      <w:r w:rsidRPr="00CE3FFE">
        <w:rPr>
          <w:rFonts w:ascii="David" w:hAnsi="David" w:cs="David" w:hint="cs"/>
          <w:sz w:val="24"/>
          <w:szCs w:val="24"/>
          <w:rtl/>
        </w:rPr>
        <w:t xml:space="preserve"> </w:t>
      </w:r>
      <w:r w:rsidRPr="00CE3FFE">
        <w:rPr>
          <w:rFonts w:ascii="David" w:hAnsi="David" w:cs="David"/>
          <w:sz w:val="24"/>
          <w:szCs w:val="24"/>
          <w:rtl/>
        </w:rPr>
        <w:t xml:space="preserve">תחול גם במקרה שלא נגרמה בפועל פגיעה באדם נוסף או </w:t>
      </w:r>
      <w:r>
        <w:rPr>
          <w:rFonts w:ascii="David" w:hAnsi="David" w:cs="David" w:hint="cs"/>
          <w:sz w:val="24"/>
          <w:szCs w:val="24"/>
          <w:rtl/>
        </w:rPr>
        <w:t>ש</w:t>
      </w:r>
      <w:r w:rsidRPr="00CE3FFE">
        <w:rPr>
          <w:rFonts w:ascii="David" w:hAnsi="David" w:cs="David"/>
          <w:sz w:val="24"/>
          <w:szCs w:val="24"/>
          <w:rtl/>
        </w:rPr>
        <w:t>לא נעשה ניסיון לפגוע באדם נוסף, אך נוצרה סכנה ממשית לפגיעה כאמור</w:t>
      </w:r>
      <w:r w:rsidRPr="00CE3FFE">
        <w:rPr>
          <w:rFonts w:ascii="David" w:hAnsi="David" w:cs="David"/>
          <w:sz w:val="24"/>
          <w:szCs w:val="24"/>
        </w:rPr>
        <w:t>.</w:t>
      </w:r>
      <w:r>
        <w:rPr>
          <w:rFonts w:ascii="David" w:hAnsi="David" w:cs="David" w:hint="cs"/>
          <w:sz w:val="24"/>
          <w:szCs w:val="24"/>
          <w:rtl/>
        </w:rPr>
        <w:t xml:space="preserve"> </w:t>
      </w:r>
    </w:p>
    <w:p w:rsidR="00380327" w:rsidRDefault="00380327" w:rsidP="00380327">
      <w:pPr>
        <w:spacing w:after="0" w:line="360" w:lineRule="auto"/>
        <w:jc w:val="both"/>
        <w:rPr>
          <w:rFonts w:ascii="David" w:hAnsi="David" w:cs="David"/>
          <w:sz w:val="24"/>
          <w:szCs w:val="24"/>
          <w:rtl/>
        </w:rPr>
      </w:pPr>
      <w:r>
        <w:rPr>
          <w:rFonts w:ascii="David" w:hAnsi="David" w:cs="David" w:hint="cs"/>
          <w:sz w:val="24"/>
          <w:szCs w:val="24"/>
          <w:rtl/>
        </w:rPr>
        <w:t>בצוות לבחינת יסודות עבירות ההמתה עלתה שאלה האם לקבוע נסיבה מחמירה רק כשיש סכנה לפגיעה המונית או שדי ביצירת סכנה לאדם אחד נוסף. הצוות סבור היה, כפי שמוצע, שנכון יותר לקבוע נסיבה מחמירה אפילו אם נוצרה סכנה לאדם אחד נוסף.</w:t>
      </w:r>
    </w:p>
    <w:p w:rsidR="00380327" w:rsidRDefault="00380327" w:rsidP="00380327">
      <w:pPr>
        <w:spacing w:after="0" w:line="360" w:lineRule="auto"/>
        <w:jc w:val="both"/>
        <w:rPr>
          <w:rFonts w:ascii="David" w:hAnsi="David" w:cs="David"/>
          <w:sz w:val="24"/>
          <w:szCs w:val="24"/>
          <w:rtl/>
        </w:rPr>
      </w:pPr>
      <w:r>
        <w:rPr>
          <w:rFonts w:ascii="David" w:hAnsi="David" w:cs="David" w:hint="cs"/>
          <w:sz w:val="24"/>
          <w:szCs w:val="24"/>
          <w:rtl/>
        </w:rPr>
        <w:t>מוצע לדון בנסיבה מחמירה זו. ולברר האם יש מקרים שיכולים להיכנס להגדרה זו אשר אינם נכנסים בגדר אחת הנסיבות האחרות.</w:t>
      </w:r>
    </w:p>
    <w:p w:rsidR="00380327" w:rsidRDefault="00380327" w:rsidP="00380327">
      <w:pPr>
        <w:spacing w:after="0" w:line="360" w:lineRule="auto"/>
        <w:jc w:val="both"/>
        <w:rPr>
          <w:rFonts w:ascii="David" w:hAnsi="David" w:cs="David"/>
          <w:sz w:val="24"/>
          <w:szCs w:val="24"/>
          <w:rtl/>
        </w:rPr>
      </w:pPr>
      <w:r w:rsidRPr="00CE3FFE">
        <w:rPr>
          <w:rFonts w:ascii="David" w:hAnsi="David" w:cs="David" w:hint="cs"/>
          <w:sz w:val="24"/>
          <w:szCs w:val="24"/>
          <w:rtl/>
        </w:rPr>
        <w:t>יש ל</w:t>
      </w:r>
      <w:r>
        <w:rPr>
          <w:rFonts w:ascii="David" w:hAnsi="David" w:cs="David" w:hint="cs"/>
          <w:sz w:val="24"/>
          <w:szCs w:val="24"/>
          <w:rtl/>
        </w:rPr>
        <w:t xml:space="preserve">הדגיש </w:t>
      </w:r>
      <w:r w:rsidRPr="00CE3FFE">
        <w:rPr>
          <w:rFonts w:ascii="David" w:hAnsi="David" w:cs="David" w:hint="cs"/>
          <w:sz w:val="24"/>
          <w:szCs w:val="24"/>
          <w:rtl/>
        </w:rPr>
        <w:t xml:space="preserve">כי קביעת הנסיבה המחמירה מביאה לכך שגם אם אפשר להעמיד לדין את הרוצח </w:t>
      </w:r>
      <w:r>
        <w:rPr>
          <w:rFonts w:ascii="David" w:hAnsi="David" w:cs="David" w:hint="cs"/>
          <w:sz w:val="24"/>
          <w:szCs w:val="24"/>
          <w:rtl/>
        </w:rPr>
        <w:t>אפילו</w:t>
      </w:r>
      <w:r w:rsidRPr="00CE3FFE">
        <w:rPr>
          <w:rFonts w:ascii="David" w:hAnsi="David" w:cs="David" w:hint="cs"/>
          <w:sz w:val="24"/>
          <w:szCs w:val="24"/>
          <w:rtl/>
        </w:rPr>
        <w:t xml:space="preserve"> על רצח אדם נוסף, יש בכך כדי לגבש יותר משתי עבירות רצח </w:t>
      </w:r>
      <w:r>
        <w:rPr>
          <w:rFonts w:ascii="David" w:hAnsi="David" w:cs="David" w:hint="cs"/>
          <w:sz w:val="24"/>
          <w:szCs w:val="24"/>
          <w:rtl/>
        </w:rPr>
        <w:t>(</w:t>
      </w:r>
      <w:r w:rsidRPr="00CE3FFE">
        <w:rPr>
          <w:rFonts w:ascii="David" w:hAnsi="David" w:cs="David" w:hint="cs"/>
          <w:sz w:val="24"/>
          <w:szCs w:val="24"/>
          <w:rtl/>
        </w:rPr>
        <w:t>שלא מחייבות מאסר עולם</w:t>
      </w:r>
      <w:r>
        <w:rPr>
          <w:rFonts w:ascii="David" w:hAnsi="David" w:cs="David" w:hint="cs"/>
          <w:sz w:val="24"/>
          <w:szCs w:val="24"/>
          <w:rtl/>
        </w:rPr>
        <w:t>)</w:t>
      </w:r>
      <w:r w:rsidRPr="00CE3FFE">
        <w:rPr>
          <w:rFonts w:ascii="David" w:hAnsi="David" w:cs="David" w:hint="cs"/>
          <w:sz w:val="24"/>
          <w:szCs w:val="24"/>
          <w:rtl/>
        </w:rPr>
        <w:t xml:space="preserve"> </w:t>
      </w:r>
      <w:r>
        <w:rPr>
          <w:rFonts w:ascii="David" w:hAnsi="David" w:cs="David" w:hint="cs"/>
          <w:sz w:val="24"/>
          <w:szCs w:val="24"/>
          <w:rtl/>
        </w:rPr>
        <w:t xml:space="preserve">ולגבש את </w:t>
      </w:r>
      <w:r w:rsidRPr="00CE3FFE">
        <w:rPr>
          <w:rFonts w:ascii="David" w:hAnsi="David" w:cs="David" w:hint="cs"/>
          <w:sz w:val="24"/>
          <w:szCs w:val="24"/>
          <w:rtl/>
        </w:rPr>
        <w:t>העבירה החמורה יותר גם לעניין התיוג וגם לעניין העונש של  מאסר עולם חובה.</w:t>
      </w:r>
    </w:p>
    <w:p w:rsidR="00380327" w:rsidRDefault="00380327" w:rsidP="00380327">
      <w:pPr>
        <w:spacing w:after="0" w:line="360" w:lineRule="auto"/>
        <w:jc w:val="both"/>
        <w:rPr>
          <w:rFonts w:ascii="David" w:hAnsi="David" w:cs="David"/>
          <w:sz w:val="24"/>
          <w:szCs w:val="24"/>
          <w:rtl/>
        </w:rPr>
      </w:pPr>
    </w:p>
    <w:p w:rsidR="00380327" w:rsidRPr="00645C85" w:rsidRDefault="00380327" w:rsidP="00380327">
      <w:pPr>
        <w:pStyle w:val="a4"/>
        <w:numPr>
          <w:ilvl w:val="0"/>
          <w:numId w:val="4"/>
        </w:numPr>
        <w:spacing w:after="0" w:line="360" w:lineRule="auto"/>
        <w:jc w:val="both"/>
        <w:rPr>
          <w:rFonts w:ascii="David" w:hAnsi="David" w:cs="David"/>
          <w:b/>
          <w:bCs/>
          <w:sz w:val="24"/>
          <w:szCs w:val="24"/>
        </w:rPr>
      </w:pPr>
      <w:r w:rsidRPr="00645C85">
        <w:rPr>
          <w:rFonts w:ascii="David" w:hAnsi="David" w:cs="David"/>
          <w:b/>
          <w:bCs/>
          <w:sz w:val="24"/>
          <w:szCs w:val="24"/>
          <w:rtl/>
        </w:rPr>
        <w:t>המעשה בוצע במסגר</w:t>
      </w:r>
      <w:r>
        <w:rPr>
          <w:rFonts w:ascii="David" w:hAnsi="David" w:cs="David"/>
          <w:b/>
          <w:bCs/>
          <w:sz w:val="24"/>
          <w:szCs w:val="24"/>
          <w:rtl/>
        </w:rPr>
        <w:t>ת פעילות</w:t>
      </w:r>
      <w:r>
        <w:rPr>
          <w:rFonts w:ascii="David" w:hAnsi="David" w:cs="David" w:hint="cs"/>
          <w:b/>
          <w:bCs/>
          <w:sz w:val="24"/>
          <w:szCs w:val="24"/>
          <w:rtl/>
        </w:rPr>
        <w:t>ו</w:t>
      </w:r>
      <w:r>
        <w:rPr>
          <w:rFonts w:ascii="David" w:hAnsi="David" w:cs="David"/>
          <w:b/>
          <w:bCs/>
          <w:sz w:val="24"/>
          <w:szCs w:val="24"/>
          <w:rtl/>
        </w:rPr>
        <w:t xml:space="preserve"> של ארגון פשיעה או </w:t>
      </w:r>
      <w:r>
        <w:rPr>
          <w:rFonts w:ascii="David" w:hAnsi="David" w:cs="David" w:hint="cs"/>
          <w:b/>
          <w:bCs/>
          <w:sz w:val="24"/>
          <w:szCs w:val="24"/>
          <w:rtl/>
        </w:rPr>
        <w:t xml:space="preserve">ארגון </w:t>
      </w:r>
      <w:r>
        <w:rPr>
          <w:rFonts w:ascii="David" w:hAnsi="David" w:cs="David"/>
          <w:b/>
          <w:bCs/>
          <w:sz w:val="24"/>
          <w:szCs w:val="24"/>
          <w:rtl/>
        </w:rPr>
        <w:t>טרור</w:t>
      </w:r>
      <w:r>
        <w:rPr>
          <w:rFonts w:ascii="David" w:hAnsi="David" w:cs="David" w:hint="cs"/>
          <w:b/>
          <w:bCs/>
          <w:sz w:val="24"/>
          <w:szCs w:val="24"/>
          <w:rtl/>
        </w:rPr>
        <w:t xml:space="preserve"> ולשם קידום מטרות אותו ארגון</w:t>
      </w:r>
    </w:p>
    <w:p w:rsidR="00380327" w:rsidRDefault="00380327" w:rsidP="00380327">
      <w:pPr>
        <w:spacing w:before="120" w:after="0" w:line="360" w:lineRule="auto"/>
        <w:jc w:val="both"/>
        <w:rPr>
          <w:rFonts w:ascii="David" w:hAnsi="David" w:cs="David"/>
          <w:sz w:val="24"/>
          <w:szCs w:val="24"/>
          <w:rtl/>
        </w:rPr>
      </w:pPr>
      <w:r w:rsidRPr="00A81A20">
        <w:rPr>
          <w:rFonts w:ascii="David" w:hAnsi="David" w:cs="David" w:hint="cs"/>
          <w:sz w:val="24"/>
          <w:szCs w:val="24"/>
          <w:rtl/>
        </w:rPr>
        <w:t xml:space="preserve">לפי דברי ההסבר, מוצע לקבוע נסיבה זו </w:t>
      </w:r>
      <w:r w:rsidRPr="00A81A20">
        <w:rPr>
          <w:rFonts w:ascii="David" w:hAnsi="David" w:cs="David"/>
          <w:sz w:val="24"/>
          <w:szCs w:val="24"/>
          <w:rtl/>
        </w:rPr>
        <w:t>משום שארגוני</w:t>
      </w:r>
      <w:r w:rsidRPr="00A81A20">
        <w:rPr>
          <w:rFonts w:ascii="David" w:hAnsi="David" w:cs="David" w:hint="cs"/>
          <w:sz w:val="24"/>
          <w:szCs w:val="24"/>
          <w:rtl/>
        </w:rPr>
        <w:t xml:space="preserve"> פשע וארגוני טרור </w:t>
      </w:r>
      <w:r w:rsidRPr="00A81A20">
        <w:rPr>
          <w:rFonts w:ascii="David" w:hAnsi="David" w:cs="David"/>
          <w:sz w:val="24"/>
          <w:szCs w:val="24"/>
          <w:rtl/>
        </w:rPr>
        <w:t>יוצרים מטבעם סיכון מיוחד לביצוע פשעים, ומשום ש</w:t>
      </w:r>
      <w:r w:rsidRPr="00A81A20">
        <w:rPr>
          <w:rFonts w:ascii="David" w:hAnsi="David" w:cs="David" w:hint="cs"/>
          <w:sz w:val="24"/>
          <w:szCs w:val="24"/>
          <w:rtl/>
        </w:rPr>
        <w:t xml:space="preserve">רצח </w:t>
      </w:r>
      <w:r w:rsidRPr="00A81A20">
        <w:rPr>
          <w:rFonts w:ascii="David" w:hAnsi="David" w:cs="David"/>
          <w:sz w:val="24"/>
          <w:szCs w:val="24"/>
          <w:rtl/>
        </w:rPr>
        <w:t xml:space="preserve">במסגרת פעילות של ארגון </w:t>
      </w:r>
      <w:r w:rsidRPr="00A81A20">
        <w:rPr>
          <w:rFonts w:ascii="David" w:hAnsi="David" w:cs="David" w:hint="cs"/>
          <w:sz w:val="24"/>
          <w:szCs w:val="24"/>
          <w:rtl/>
        </w:rPr>
        <w:t xml:space="preserve"> </w:t>
      </w:r>
      <w:r w:rsidRPr="00A81A20">
        <w:rPr>
          <w:rFonts w:ascii="David" w:hAnsi="David" w:cs="David"/>
          <w:sz w:val="24"/>
          <w:szCs w:val="24"/>
          <w:rtl/>
        </w:rPr>
        <w:t>ובמטרה לקדם את פעילותו מציבה איום חמור על שלטון החוק, גורמת לחרדה בציבור ומגלמת חומרה מוסרית רבה</w:t>
      </w:r>
      <w:r w:rsidRPr="00A81A20">
        <w:rPr>
          <w:rFonts w:ascii="David" w:hAnsi="David" w:cs="David"/>
          <w:sz w:val="24"/>
          <w:szCs w:val="24"/>
        </w:rPr>
        <w:t>.</w:t>
      </w:r>
    </w:p>
    <w:p w:rsidR="00380327" w:rsidRDefault="00380327" w:rsidP="00380327">
      <w:pPr>
        <w:spacing w:before="120" w:after="0" w:line="360" w:lineRule="auto"/>
        <w:jc w:val="both"/>
        <w:rPr>
          <w:rFonts w:ascii="David" w:hAnsi="David" w:cs="David"/>
          <w:sz w:val="24"/>
          <w:szCs w:val="24"/>
          <w:rtl/>
        </w:rPr>
      </w:pPr>
      <w:r>
        <w:rPr>
          <w:rFonts w:ascii="David" w:hAnsi="David" w:cs="David" w:hint="cs"/>
          <w:sz w:val="24"/>
          <w:szCs w:val="24"/>
          <w:rtl/>
        </w:rPr>
        <w:t>יצוין כי גם בחוק המאבק בטרור, התשע"ו-2016, הכיר המחוקק בכך שעבירות מסוימות המבוצעות במסגרת פעילות של ארגון טרור הן חמורות יותר ויש להחמיר את העונש בצדן.</w:t>
      </w:r>
    </w:p>
    <w:p w:rsidR="00380327" w:rsidRPr="00A81A20" w:rsidRDefault="00380327" w:rsidP="00380327">
      <w:pPr>
        <w:spacing w:before="120" w:after="0" w:line="360" w:lineRule="auto"/>
        <w:jc w:val="both"/>
        <w:rPr>
          <w:rFonts w:ascii="David" w:hAnsi="David" w:cs="David"/>
          <w:sz w:val="24"/>
          <w:szCs w:val="24"/>
          <w:rtl/>
        </w:rPr>
      </w:pPr>
      <w:r>
        <w:rPr>
          <w:rFonts w:ascii="David" w:hAnsi="David" w:cs="David" w:hint="cs"/>
          <w:sz w:val="24"/>
          <w:szCs w:val="24"/>
          <w:rtl/>
        </w:rPr>
        <w:t xml:space="preserve">מוצע לדון בנסיבה מחמירה זו ובניסוחה. מוצע לדון בשאלה שהתעוררה גם בוועדת קרמניצר, האם יש די בכך שהרצח בוצע במסגרת פעילות ארגון הפשיעה או הטרור או שיש לעגן את הדרישה שהמעשה בוצע במטרה לקדם את מטרות אותו ארגון. </w:t>
      </w:r>
    </w:p>
    <w:p w:rsidR="00380327" w:rsidRDefault="00380327" w:rsidP="00380327">
      <w:pPr>
        <w:spacing w:before="120" w:after="0" w:line="360" w:lineRule="auto"/>
        <w:rPr>
          <w:rFonts w:ascii="David" w:hAnsi="David" w:cs="David"/>
          <w:b/>
          <w:bCs/>
          <w:sz w:val="24"/>
          <w:szCs w:val="24"/>
          <w:rtl/>
        </w:rPr>
      </w:pPr>
    </w:p>
    <w:p w:rsidR="00380327" w:rsidRPr="00B70A5B" w:rsidRDefault="00380327" w:rsidP="00380327">
      <w:pPr>
        <w:spacing w:before="120" w:after="0" w:line="360" w:lineRule="auto"/>
        <w:jc w:val="both"/>
        <w:rPr>
          <w:rFonts w:ascii="David" w:hAnsi="David" w:cs="David"/>
          <w:sz w:val="24"/>
          <w:szCs w:val="24"/>
          <w:rtl/>
        </w:rPr>
      </w:pPr>
      <w:r w:rsidRPr="000836C8">
        <w:rPr>
          <w:rFonts w:ascii="David" w:hAnsi="David" w:cs="David" w:hint="cs"/>
          <w:sz w:val="24"/>
          <w:szCs w:val="24"/>
          <w:rtl/>
        </w:rPr>
        <w:t xml:space="preserve">בנוסף לכך, </w:t>
      </w:r>
      <w:r w:rsidRPr="004E7C59">
        <w:rPr>
          <w:rFonts w:ascii="David" w:hAnsi="David" w:cs="David" w:hint="cs"/>
          <w:b/>
          <w:bCs/>
          <w:sz w:val="24"/>
          <w:szCs w:val="24"/>
          <w:rtl/>
        </w:rPr>
        <w:t>אר</w:t>
      </w:r>
      <w:r w:rsidRPr="004E7C59">
        <w:rPr>
          <w:rFonts w:ascii="David" w:hAnsi="David" w:cs="David"/>
          <w:b/>
          <w:bCs/>
          <w:sz w:val="24"/>
          <w:szCs w:val="24"/>
          <w:rtl/>
        </w:rPr>
        <w:t>גון משפחות נרצחות ונרצחים</w:t>
      </w:r>
      <w:r w:rsidRPr="000836C8">
        <w:rPr>
          <w:rFonts w:ascii="David" w:hAnsi="David" w:cs="David"/>
          <w:sz w:val="24"/>
          <w:szCs w:val="24"/>
          <w:rtl/>
        </w:rPr>
        <w:t xml:space="preserve"> </w:t>
      </w:r>
      <w:r>
        <w:rPr>
          <w:rFonts w:ascii="David" w:hAnsi="David" w:cs="David" w:hint="cs"/>
          <w:sz w:val="24"/>
          <w:szCs w:val="24"/>
          <w:rtl/>
        </w:rPr>
        <w:t xml:space="preserve">מבקש </w:t>
      </w:r>
      <w:r w:rsidRPr="000836C8">
        <w:rPr>
          <w:rFonts w:ascii="David" w:hAnsi="David" w:cs="David"/>
          <w:sz w:val="24"/>
          <w:szCs w:val="24"/>
          <w:rtl/>
        </w:rPr>
        <w:t>להוסיף מספר נסיבות מחמירות</w:t>
      </w:r>
      <w:r>
        <w:rPr>
          <w:rFonts w:ascii="David" w:hAnsi="David" w:cs="David" w:hint="cs"/>
          <w:sz w:val="24"/>
          <w:szCs w:val="24"/>
          <w:rtl/>
        </w:rPr>
        <w:t xml:space="preserve"> וביניהן רצח בת זוג, רצח מול בני משפחה אחרים ועוד.</w:t>
      </w:r>
      <w:r w:rsidRPr="000836C8">
        <w:rPr>
          <w:rFonts w:ascii="David" w:hAnsi="David" w:cs="David" w:hint="cs"/>
          <w:sz w:val="24"/>
          <w:szCs w:val="24"/>
          <w:rtl/>
        </w:rPr>
        <w:t xml:space="preserve"> </w:t>
      </w:r>
    </w:p>
    <w:p w:rsidR="00380327" w:rsidRPr="000836C8" w:rsidRDefault="00380327" w:rsidP="00380327">
      <w:pPr>
        <w:spacing w:before="120" w:after="0" w:line="360" w:lineRule="auto"/>
        <w:jc w:val="both"/>
        <w:rPr>
          <w:rFonts w:ascii="David" w:hAnsi="David" w:cs="David"/>
          <w:sz w:val="24"/>
          <w:szCs w:val="24"/>
          <w:rtl/>
        </w:rPr>
      </w:pPr>
    </w:p>
    <w:p w:rsidR="00380327" w:rsidRPr="00AF4575" w:rsidRDefault="00380327" w:rsidP="00380327">
      <w:pPr>
        <w:spacing w:before="120" w:after="0" w:line="360" w:lineRule="auto"/>
        <w:rPr>
          <w:rFonts w:ascii="David" w:hAnsi="David" w:cs="David"/>
          <w:b/>
          <w:bCs/>
          <w:sz w:val="24"/>
          <w:szCs w:val="24"/>
          <w:rtl/>
        </w:rPr>
      </w:pPr>
      <w:r w:rsidRPr="00AF4575">
        <w:rPr>
          <w:rFonts w:ascii="David" w:hAnsi="David" w:cs="David"/>
          <w:b/>
          <w:bCs/>
          <w:sz w:val="24"/>
          <w:szCs w:val="24"/>
          <w:rtl/>
        </w:rPr>
        <w:t>סעיף קטן (ב) המאפשר לחרוג אם האשמה לא עולה לכדי חומרה מיוחדת</w:t>
      </w:r>
    </w:p>
    <w:p w:rsidR="00380327" w:rsidRDefault="00380327" w:rsidP="00380327">
      <w:pPr>
        <w:spacing w:before="120" w:after="0" w:line="360" w:lineRule="auto"/>
        <w:jc w:val="both"/>
        <w:rPr>
          <w:rFonts w:ascii="David" w:hAnsi="David" w:cs="David"/>
          <w:sz w:val="24"/>
          <w:szCs w:val="24"/>
          <w:rtl/>
        </w:rPr>
      </w:pPr>
      <w:r>
        <w:rPr>
          <w:rFonts w:ascii="David" w:hAnsi="David" w:cs="David" w:hint="cs"/>
          <w:sz w:val="24"/>
          <w:szCs w:val="24"/>
          <w:rtl/>
        </w:rPr>
        <w:t>מוצע לקבוע כי במקרה בו</w:t>
      </w:r>
      <w:r w:rsidRPr="001915FE">
        <w:rPr>
          <w:rFonts w:ascii="David" w:hAnsi="David" w:cs="David"/>
          <w:sz w:val="24"/>
          <w:szCs w:val="24"/>
          <w:rtl/>
        </w:rPr>
        <w:t xml:space="preserve"> התקיימה נסיבה מחמירה אך ביהמ"ש מצא, מנימוקים מיוחדים שיירשמו, שהתקיימו נסיבות מיוחדות שבשלהן </w:t>
      </w:r>
      <w:r w:rsidRPr="001915FE">
        <w:rPr>
          <w:rFonts w:ascii="David" w:hAnsi="David" w:cs="David"/>
          <w:sz w:val="24"/>
          <w:szCs w:val="24"/>
          <w:u w:val="single"/>
          <w:rtl/>
        </w:rPr>
        <w:t>המעשה</w:t>
      </w:r>
      <w:r w:rsidRPr="001915FE">
        <w:rPr>
          <w:rFonts w:ascii="David" w:hAnsi="David" w:cs="David"/>
          <w:sz w:val="24"/>
          <w:szCs w:val="24"/>
          <w:rtl/>
        </w:rPr>
        <w:t xml:space="preserve"> לא מבטא דרגת אשמה חמורה במיוחד, הוא רשאי להרשיע בעבירה של רצח</w:t>
      </w:r>
      <w:r>
        <w:rPr>
          <w:rFonts w:ascii="David" w:hAnsi="David" w:cs="David" w:hint="cs"/>
          <w:sz w:val="24"/>
          <w:szCs w:val="24"/>
          <w:rtl/>
        </w:rPr>
        <w:t xml:space="preserve">. </w:t>
      </w:r>
    </w:p>
    <w:p w:rsidR="00380327" w:rsidRPr="001D1702" w:rsidRDefault="00380327" w:rsidP="00380327">
      <w:pPr>
        <w:spacing w:before="120" w:after="0" w:line="360" w:lineRule="auto"/>
        <w:jc w:val="both"/>
        <w:rPr>
          <w:rFonts w:cs="David"/>
          <w:sz w:val="24"/>
          <w:szCs w:val="24"/>
          <w:rtl/>
        </w:rPr>
      </w:pPr>
      <w:r w:rsidRPr="00687CE9">
        <w:rPr>
          <w:rFonts w:ascii="David" w:hAnsi="David" w:cs="David" w:hint="cs"/>
          <w:sz w:val="24"/>
          <w:szCs w:val="24"/>
          <w:rtl/>
        </w:rPr>
        <w:t>לפי דברי ההסבר,</w:t>
      </w:r>
      <w:r>
        <w:rPr>
          <w:rFonts w:ascii="David" w:hAnsi="David" w:cs="David" w:hint="cs"/>
          <w:sz w:val="24"/>
          <w:szCs w:val="24"/>
          <w:rtl/>
        </w:rPr>
        <w:t xml:space="preserve"> </w:t>
      </w:r>
      <w:r w:rsidRPr="00687CE9">
        <w:rPr>
          <w:rFonts w:ascii="David" w:hAnsi="David" w:cs="David"/>
          <w:sz w:val="24"/>
          <w:szCs w:val="24"/>
          <w:rtl/>
        </w:rPr>
        <w:t>קיים קושי בתיחום מדויק מראש של עבירת הרצח בנסיבות מחמירות באמצעות נוסחה משפטית או קביעת נסיבות מסוימות. ייתכנו מקרים פרטניים שנסיבותיהם הייחודיות לא ילוו בדרגת האשמה החמורה המאפיינת את העבירה המוחמרת, אף שהתקיימה הנסיבה המחמירה שקבע המחוקק. במקרים חריגים אלה, לא מוצדק להרשיע את העושה בעבירה של רצח</w:t>
      </w:r>
      <w:r>
        <w:rPr>
          <w:rFonts w:ascii="David" w:hAnsi="David" w:cs="David"/>
          <w:sz w:val="24"/>
          <w:szCs w:val="24"/>
          <w:rtl/>
        </w:rPr>
        <w:t xml:space="preserve"> בנסיבות מחמירות ולתייגו באופ</w:t>
      </w:r>
      <w:r>
        <w:rPr>
          <w:rFonts w:ascii="David" w:hAnsi="David" w:cs="David" w:hint="cs"/>
          <w:sz w:val="24"/>
          <w:szCs w:val="24"/>
          <w:rtl/>
        </w:rPr>
        <w:t>ן זה</w:t>
      </w:r>
      <w:r w:rsidRPr="00687CE9">
        <w:rPr>
          <w:rFonts w:ascii="David" w:hAnsi="David" w:cs="David"/>
          <w:sz w:val="24"/>
          <w:szCs w:val="24"/>
        </w:rPr>
        <w:t xml:space="preserve">. </w:t>
      </w:r>
      <w:r>
        <w:rPr>
          <w:rFonts w:ascii="David" w:hAnsi="David" w:cs="David" w:hint="cs"/>
          <w:sz w:val="24"/>
          <w:szCs w:val="24"/>
          <w:rtl/>
        </w:rPr>
        <w:t xml:space="preserve"> לפיכך</w:t>
      </w:r>
      <w:r w:rsidRPr="00687CE9">
        <w:rPr>
          <w:rFonts w:ascii="David" w:hAnsi="David" w:cs="David"/>
          <w:sz w:val="24"/>
          <w:szCs w:val="24"/>
          <w:rtl/>
        </w:rPr>
        <w:t>, מוצע לאפשר לבית המשפט, במקרה שבו מצא כי התקיימו נסיבות מיוחדות שבשלהן המעשה נופל בגדר עבירת הרצח בנסיבות מחמירות</w:t>
      </w:r>
      <w:r>
        <w:rPr>
          <w:rFonts w:ascii="David" w:hAnsi="David" w:cs="David" w:hint="cs"/>
          <w:sz w:val="24"/>
          <w:szCs w:val="24"/>
          <w:rtl/>
        </w:rPr>
        <w:t>, אך</w:t>
      </w:r>
      <w:r>
        <w:rPr>
          <w:rFonts w:ascii="David" w:hAnsi="David" w:cs="David"/>
          <w:sz w:val="24"/>
          <w:szCs w:val="24"/>
          <w:rtl/>
        </w:rPr>
        <w:t xml:space="preserve"> </w:t>
      </w:r>
      <w:r w:rsidRPr="001D1702">
        <w:rPr>
          <w:rFonts w:ascii="David" w:hAnsi="David" w:cs="David" w:hint="cs"/>
          <w:sz w:val="24"/>
          <w:szCs w:val="24"/>
          <w:u w:val="single"/>
          <w:rtl/>
        </w:rPr>
        <w:t>המעשה</w:t>
      </w:r>
      <w:r>
        <w:rPr>
          <w:rFonts w:ascii="David" w:hAnsi="David" w:cs="David" w:hint="cs"/>
          <w:sz w:val="24"/>
          <w:szCs w:val="24"/>
          <w:rtl/>
        </w:rPr>
        <w:t xml:space="preserve"> א</w:t>
      </w:r>
      <w:r w:rsidRPr="00687CE9">
        <w:rPr>
          <w:rFonts w:ascii="David" w:hAnsi="David" w:cs="David"/>
          <w:sz w:val="24"/>
          <w:szCs w:val="24"/>
          <w:rtl/>
        </w:rPr>
        <w:t xml:space="preserve">ינו מבטא דרגת אשמה חמורה </w:t>
      </w:r>
      <w:r>
        <w:rPr>
          <w:rFonts w:ascii="David" w:hAnsi="David" w:cs="David"/>
          <w:sz w:val="24"/>
          <w:szCs w:val="24"/>
          <w:rtl/>
        </w:rPr>
        <w:t>במיוחד, ומנימוקים מיוחדים שיי</w:t>
      </w:r>
      <w:r>
        <w:rPr>
          <w:rFonts w:ascii="David" w:hAnsi="David" w:cs="David" w:hint="cs"/>
          <w:sz w:val="24"/>
          <w:szCs w:val="24"/>
          <w:rtl/>
        </w:rPr>
        <w:t>רשמו</w:t>
      </w:r>
      <w:r w:rsidRPr="00687CE9">
        <w:rPr>
          <w:rFonts w:ascii="David" w:hAnsi="David" w:cs="David"/>
          <w:sz w:val="24"/>
          <w:szCs w:val="24"/>
        </w:rPr>
        <w:t xml:space="preserve">, </w:t>
      </w:r>
      <w:r w:rsidRPr="00687CE9">
        <w:rPr>
          <w:rFonts w:ascii="David" w:hAnsi="David" w:cs="David"/>
          <w:sz w:val="24"/>
          <w:szCs w:val="24"/>
          <w:rtl/>
        </w:rPr>
        <w:t xml:space="preserve">להרשיע את הנאשם בעבירה של רצח </w:t>
      </w:r>
      <w:r>
        <w:rPr>
          <w:rFonts w:ascii="David" w:hAnsi="David" w:cs="David" w:hint="cs"/>
          <w:sz w:val="24"/>
          <w:szCs w:val="24"/>
          <w:rtl/>
        </w:rPr>
        <w:t>הבסיסי</w:t>
      </w:r>
      <w:r w:rsidRPr="00687CE9">
        <w:rPr>
          <w:rFonts w:ascii="David" w:hAnsi="David" w:cs="David"/>
          <w:sz w:val="24"/>
          <w:szCs w:val="24"/>
          <w:rtl/>
        </w:rPr>
        <w:t>, ולא בעבירה של רצח בנסיבות</w:t>
      </w:r>
      <w:r>
        <w:rPr>
          <w:rFonts w:ascii="David" w:hAnsi="David" w:cs="David" w:hint="cs"/>
          <w:sz w:val="24"/>
          <w:szCs w:val="24"/>
          <w:rtl/>
        </w:rPr>
        <w:t xml:space="preserve"> מחמירות. במצב זה, בית המשפט</w:t>
      </w:r>
      <w:r w:rsidRPr="00687CE9">
        <w:rPr>
          <w:rFonts w:ascii="David" w:hAnsi="David" w:cs="David"/>
          <w:sz w:val="24"/>
          <w:szCs w:val="24"/>
          <w:rtl/>
        </w:rPr>
        <w:t xml:space="preserve"> לא יהיה מחויב להטיל על הנאשם עונש מאסר עולם</w:t>
      </w:r>
      <w:r>
        <w:rPr>
          <w:rFonts w:ascii="David" w:hAnsi="David" w:cs="David"/>
          <w:sz w:val="24"/>
          <w:szCs w:val="24"/>
        </w:rPr>
        <w:t>.</w:t>
      </w:r>
    </w:p>
    <w:p w:rsidR="00380327" w:rsidRPr="00687CE9" w:rsidRDefault="00380327" w:rsidP="00380327">
      <w:pPr>
        <w:spacing w:before="120" w:after="0" w:line="360" w:lineRule="auto"/>
        <w:jc w:val="both"/>
        <w:rPr>
          <w:rFonts w:ascii="David" w:hAnsi="David" w:cs="David"/>
          <w:sz w:val="24"/>
          <w:szCs w:val="24"/>
          <w:rtl/>
        </w:rPr>
      </w:pPr>
      <w:r>
        <w:rPr>
          <w:rFonts w:ascii="David" w:hAnsi="David" w:cs="David" w:hint="cs"/>
          <w:sz w:val="24"/>
          <w:szCs w:val="24"/>
          <w:rtl/>
        </w:rPr>
        <w:t xml:space="preserve">יודגש כי </w:t>
      </w:r>
      <w:r w:rsidRPr="001915FE">
        <w:rPr>
          <w:rFonts w:ascii="David" w:hAnsi="David" w:cs="David"/>
          <w:sz w:val="24"/>
          <w:szCs w:val="24"/>
          <w:rtl/>
        </w:rPr>
        <w:t xml:space="preserve">ההתייחסות היא למידת </w:t>
      </w:r>
      <w:r w:rsidRPr="001D1702">
        <w:rPr>
          <w:rFonts w:ascii="David" w:hAnsi="David" w:cs="David"/>
          <w:sz w:val="24"/>
          <w:szCs w:val="24"/>
          <w:u w:val="single"/>
          <w:rtl/>
        </w:rPr>
        <w:t>האשם במעשה</w:t>
      </w:r>
      <w:r w:rsidRPr="001915FE">
        <w:rPr>
          <w:rFonts w:ascii="David" w:hAnsi="David" w:cs="David"/>
          <w:sz w:val="24"/>
          <w:szCs w:val="24"/>
          <w:rtl/>
        </w:rPr>
        <w:t xml:space="preserve"> ולא לנסיבותיו האישיות של הממית.</w:t>
      </w:r>
      <w:r w:rsidRPr="00687CE9">
        <w:rPr>
          <w:rFonts w:ascii="David" w:hAnsi="David" w:cs="David" w:hint="cs"/>
          <w:sz w:val="24"/>
          <w:szCs w:val="24"/>
          <w:rtl/>
        </w:rPr>
        <w:t xml:space="preserve"> כלומר,</w:t>
      </w:r>
      <w:r w:rsidRPr="00687CE9">
        <w:rPr>
          <w:rFonts w:ascii="David" w:hAnsi="David" w:cs="David"/>
          <w:sz w:val="24"/>
          <w:szCs w:val="24"/>
          <w:rtl/>
        </w:rPr>
        <w:t xml:space="preserve"> בהתאם לסעיף המוצע, נסיבות אישיות אינן יכולות להוות שיקולן לסטות ממאסר עולם חובה אם התקיימו היסודות של העבירה המוחמרת.</w:t>
      </w:r>
      <w:r>
        <w:rPr>
          <w:rFonts w:ascii="David" w:hAnsi="David" w:cs="David" w:hint="cs"/>
          <w:sz w:val="24"/>
          <w:szCs w:val="24"/>
          <w:rtl/>
        </w:rPr>
        <w:t xml:space="preserve"> ואולם, </w:t>
      </w:r>
      <w:r w:rsidRPr="00687CE9">
        <w:rPr>
          <w:rFonts w:ascii="David" w:hAnsi="David" w:cs="David" w:hint="cs"/>
          <w:sz w:val="24"/>
          <w:szCs w:val="24"/>
          <w:rtl/>
        </w:rPr>
        <w:t xml:space="preserve">הסניגוריה </w:t>
      </w:r>
      <w:r>
        <w:rPr>
          <w:rFonts w:ascii="David" w:hAnsi="David" w:cs="David" w:hint="cs"/>
          <w:sz w:val="24"/>
          <w:szCs w:val="24"/>
          <w:rtl/>
        </w:rPr>
        <w:t xml:space="preserve">הציבורית </w:t>
      </w:r>
      <w:r w:rsidRPr="00687CE9">
        <w:rPr>
          <w:rFonts w:ascii="David" w:hAnsi="David" w:cs="David" w:hint="cs"/>
          <w:sz w:val="24"/>
          <w:szCs w:val="24"/>
          <w:rtl/>
        </w:rPr>
        <w:t>סבורה שיש לאפשר לבית המשפט לשקול גם א</w:t>
      </w:r>
      <w:r>
        <w:rPr>
          <w:rFonts w:ascii="David" w:hAnsi="David" w:cs="David" w:hint="cs"/>
          <w:sz w:val="24"/>
          <w:szCs w:val="24"/>
          <w:rtl/>
        </w:rPr>
        <w:t>ת נסיבותיו האישיות של העושה.  מוצע לדון בסוגיה זו.</w:t>
      </w:r>
    </w:p>
    <w:p w:rsidR="00380327" w:rsidRPr="00687CE9" w:rsidRDefault="00380327" w:rsidP="00380327">
      <w:pPr>
        <w:jc w:val="both"/>
        <w:rPr>
          <w:rFonts w:ascii="David" w:hAnsi="David" w:cs="David"/>
          <w:sz w:val="24"/>
          <w:szCs w:val="24"/>
          <w:rtl/>
        </w:rPr>
      </w:pPr>
    </w:p>
    <w:p w:rsidR="00380327" w:rsidRDefault="00380327" w:rsidP="00380327">
      <w:pPr>
        <w:rPr>
          <w:rFonts w:ascii="David" w:hAnsi="David" w:cs="David"/>
          <w:rtl/>
        </w:rPr>
      </w:pPr>
    </w:p>
    <w:p w:rsidR="00380327" w:rsidRPr="001915FE" w:rsidRDefault="00380327" w:rsidP="00380327">
      <w:pPr>
        <w:rPr>
          <w:rFonts w:ascii="David" w:hAnsi="David" w:cs="David"/>
          <w:rtl/>
        </w:rPr>
      </w:pPr>
    </w:p>
    <w:p w:rsidR="00380327" w:rsidRPr="00360CB9" w:rsidRDefault="00380327" w:rsidP="00380327"/>
    <w:p w:rsidR="00DE448A" w:rsidRDefault="00A43347"/>
    <w:sectPr w:rsidR="00DE448A" w:rsidSect="00FD3A53">
      <w:footerReference w:type="default" r:id="rId15"/>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3347" w:rsidRDefault="00A43347" w:rsidP="00380327">
      <w:pPr>
        <w:spacing w:after="0" w:line="240" w:lineRule="auto"/>
      </w:pPr>
      <w:r>
        <w:separator/>
      </w:r>
    </w:p>
  </w:endnote>
  <w:endnote w:type="continuationSeparator" w:id="0">
    <w:p w:rsidR="00A43347" w:rsidRDefault="00A43347" w:rsidP="003803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3" w:usb1="00000000" w:usb2="00000000" w:usb3="00000000" w:csb0="00000021" w:csb1="00000000"/>
  </w:font>
  <w:font w:name="Arial TUR">
    <w:altName w:val="Arial"/>
    <w:charset w:val="00"/>
    <w:family w:val="swiss"/>
    <w:pitch w:val="variable"/>
    <w:sig w:usb0="E0002EFF" w:usb1="C0007843" w:usb2="00000009" w:usb3="00000000" w:csb0="000001FF" w:csb1="00000000"/>
  </w:font>
  <w:font w:name="FrankRuehl">
    <w:panose1 w:val="020E05030601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998466990"/>
      <w:docPartObj>
        <w:docPartGallery w:val="Page Numbers (Bottom of Page)"/>
        <w:docPartUnique/>
      </w:docPartObj>
    </w:sdtPr>
    <w:sdtEndPr>
      <w:rPr>
        <w:cs/>
      </w:rPr>
    </w:sdtEndPr>
    <w:sdtContent>
      <w:p w:rsidR="001967B4" w:rsidRDefault="00A43347">
        <w:pPr>
          <w:pStyle w:val="a8"/>
          <w:jc w:val="right"/>
          <w:rPr>
            <w:cs/>
          </w:rPr>
        </w:pPr>
        <w:r>
          <w:fldChar w:fldCharType="begin"/>
        </w:r>
        <w:r>
          <w:rPr>
            <w:cs/>
          </w:rPr>
          <w:instrText>PAGE   \* MERGEFORMAT</w:instrText>
        </w:r>
        <w:r>
          <w:fldChar w:fldCharType="separate"/>
        </w:r>
        <w:r w:rsidR="00574301" w:rsidRPr="00574301">
          <w:rPr>
            <w:noProof/>
            <w:rtl/>
            <w:lang w:val="he-IL"/>
          </w:rPr>
          <w:t>1</w:t>
        </w:r>
        <w:r>
          <w:fldChar w:fldCharType="end"/>
        </w:r>
      </w:p>
    </w:sdtContent>
  </w:sdt>
  <w:p w:rsidR="001967B4" w:rsidRDefault="00A43347">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3347" w:rsidRDefault="00A43347" w:rsidP="00380327">
      <w:pPr>
        <w:spacing w:after="0" w:line="240" w:lineRule="auto"/>
      </w:pPr>
      <w:r>
        <w:separator/>
      </w:r>
    </w:p>
  </w:footnote>
  <w:footnote w:type="continuationSeparator" w:id="0">
    <w:p w:rsidR="00A43347" w:rsidRDefault="00A43347" w:rsidP="00380327">
      <w:pPr>
        <w:spacing w:after="0" w:line="240" w:lineRule="auto"/>
      </w:pPr>
      <w:r>
        <w:continuationSeparator/>
      </w:r>
    </w:p>
  </w:footnote>
  <w:footnote w:id="1">
    <w:p w:rsidR="00380327" w:rsidRDefault="00380327" w:rsidP="00380327">
      <w:pPr>
        <w:pStyle w:val="a5"/>
        <w:rPr>
          <w:rtl/>
        </w:rPr>
      </w:pPr>
      <w:r>
        <w:rPr>
          <w:rStyle w:val="a7"/>
        </w:rPr>
        <w:footnoteRef/>
      </w:r>
      <w:r>
        <w:rPr>
          <w:rtl/>
        </w:rPr>
        <w:t xml:space="preserve"> </w:t>
      </w:r>
      <w:r>
        <w:rPr>
          <w:rFonts w:hint="eastAsia"/>
          <w:rtl/>
        </w:rPr>
        <w:t>ס</w:t>
      </w:r>
      <w:r>
        <w:rPr>
          <w:rtl/>
        </w:rPr>
        <w:t>"ח התשס"ג, עמ' 502.</w:t>
      </w:r>
    </w:p>
  </w:footnote>
  <w:footnote w:id="2">
    <w:p w:rsidR="00380327" w:rsidRDefault="00380327" w:rsidP="00380327">
      <w:pPr>
        <w:pStyle w:val="a5"/>
        <w:rPr>
          <w:rtl/>
        </w:rPr>
      </w:pPr>
      <w:r>
        <w:rPr>
          <w:rStyle w:val="a7"/>
        </w:rPr>
        <w:footnoteRef/>
      </w:r>
      <w:r>
        <w:rPr>
          <w:rtl/>
        </w:rPr>
        <w:t xml:space="preserve"> </w:t>
      </w:r>
      <w:r>
        <w:rPr>
          <w:rFonts w:hint="cs"/>
          <w:rtl/>
        </w:rPr>
        <w:t xml:space="preserve">ע"פ 4711/03 </w:t>
      </w:r>
      <w:r w:rsidRPr="0092428C">
        <w:rPr>
          <w:rFonts w:hint="cs"/>
          <w:b/>
          <w:bCs/>
          <w:rtl/>
        </w:rPr>
        <w:t>אבו זייד נגד מדינת ישראל</w:t>
      </w:r>
      <w:r>
        <w:rPr>
          <w:rFonts w:hint="cs"/>
          <w:rtl/>
        </w:rPr>
        <w:t xml:space="preserve"> (פורסם ביום 15.1.09).</w:t>
      </w:r>
    </w:p>
  </w:footnote>
  <w:footnote w:id="3">
    <w:p w:rsidR="00380327" w:rsidRDefault="00380327" w:rsidP="00380327">
      <w:pPr>
        <w:pStyle w:val="a5"/>
        <w:rPr>
          <w:rtl/>
        </w:rPr>
      </w:pPr>
      <w:r>
        <w:rPr>
          <w:rStyle w:val="a7"/>
        </w:rPr>
        <w:footnoteRef/>
      </w:r>
      <w:r>
        <w:rPr>
          <w:rtl/>
        </w:rPr>
        <w:t xml:space="preserve"> </w:t>
      </w:r>
      <w:r>
        <w:rPr>
          <w:rFonts w:hint="cs"/>
          <w:rtl/>
        </w:rPr>
        <w:t xml:space="preserve">ע"פ 97/57 </w:t>
      </w:r>
      <w:r w:rsidRPr="006D0F16">
        <w:rPr>
          <w:rFonts w:hint="cs"/>
          <w:b/>
          <w:bCs/>
          <w:rtl/>
        </w:rPr>
        <w:t>כדורי נגד היועץ המשפטי לממשלה</w:t>
      </w:r>
      <w:r>
        <w:rPr>
          <w:rFonts w:hint="cs"/>
          <w:rtl/>
        </w:rPr>
        <w:t>, פד"י יב, 1345 (ניתן ביום 31.7.58).</w:t>
      </w:r>
    </w:p>
  </w:footnote>
  <w:footnote w:id="4">
    <w:p w:rsidR="00380327" w:rsidRDefault="00380327" w:rsidP="00380327">
      <w:pPr>
        <w:pStyle w:val="a5"/>
        <w:rPr>
          <w:rtl/>
        </w:rPr>
      </w:pPr>
      <w:r>
        <w:rPr>
          <w:rStyle w:val="a7"/>
        </w:rPr>
        <w:footnoteRef/>
      </w:r>
      <w:r>
        <w:rPr>
          <w:rtl/>
        </w:rPr>
        <w:t xml:space="preserve"> </w:t>
      </w:r>
      <w:r>
        <w:rPr>
          <w:rFonts w:hint="cs"/>
          <w:rtl/>
        </w:rPr>
        <w:t xml:space="preserve">ע"פ 4711/03 </w:t>
      </w:r>
      <w:r w:rsidRPr="0092428C">
        <w:rPr>
          <w:rFonts w:hint="cs"/>
          <w:b/>
          <w:bCs/>
          <w:rtl/>
        </w:rPr>
        <w:t>אבו זייד נגד מדינת ישראל</w:t>
      </w:r>
      <w:r>
        <w:rPr>
          <w:rFonts w:hint="cs"/>
          <w:rtl/>
        </w:rPr>
        <w:t xml:space="preserve"> (פורסם ביום 15.1.09).</w:t>
      </w:r>
    </w:p>
  </w:footnote>
  <w:footnote w:id="5">
    <w:p w:rsidR="00380327" w:rsidRPr="007A1E60" w:rsidRDefault="00380327" w:rsidP="00380327">
      <w:pPr>
        <w:pStyle w:val="a4"/>
        <w:spacing w:after="0" w:line="240" w:lineRule="auto"/>
        <w:ind w:left="0"/>
        <w:jc w:val="both"/>
        <w:rPr>
          <w:rFonts w:ascii="Arial TUR" w:hAnsi="Arial TUR" w:cs="David"/>
          <w:spacing w:val="10"/>
          <w:sz w:val="20"/>
          <w:szCs w:val="20"/>
          <w:rtl/>
        </w:rPr>
      </w:pPr>
      <w:r>
        <w:rPr>
          <w:rStyle w:val="a7"/>
        </w:rPr>
        <w:footnoteRef/>
      </w:r>
      <w:r>
        <w:rPr>
          <w:rtl/>
        </w:rPr>
        <w:t xml:space="preserve"> </w:t>
      </w:r>
      <w:r w:rsidRPr="007A1E60">
        <w:rPr>
          <w:rFonts w:ascii="Arial TUR" w:hAnsi="Arial TUR" w:cs="David" w:hint="cs"/>
          <w:spacing w:val="10"/>
          <w:sz w:val="20"/>
          <w:szCs w:val="20"/>
          <w:rtl/>
        </w:rPr>
        <w:t>בפרשת אבו זייד הנשיאה בייניש מציינת את הקושי והשאלות המתעוררות לעניין קביעת נסיבה זו כמגבשת את דרגת העבירה החמורה ביותר כיום, ללא היסוד הנפשי של כוונה תחילה, כדלקמן:</w:t>
      </w:r>
    </w:p>
    <w:p w:rsidR="00380327" w:rsidRPr="007A1E60" w:rsidRDefault="00380327" w:rsidP="00380327">
      <w:pPr>
        <w:pStyle w:val="a4"/>
        <w:spacing w:after="0" w:line="240" w:lineRule="auto"/>
        <w:ind w:left="360"/>
        <w:jc w:val="both"/>
        <w:rPr>
          <w:rFonts w:ascii="Arial TUR" w:hAnsi="Arial TUR" w:cs="David"/>
          <w:b/>
          <w:bCs/>
          <w:spacing w:val="10"/>
          <w:sz w:val="20"/>
          <w:szCs w:val="20"/>
          <w:rtl/>
        </w:rPr>
      </w:pPr>
      <w:r w:rsidRPr="007A1E60">
        <w:rPr>
          <w:rFonts w:ascii="Arial TUR" w:hAnsi="Arial TUR" w:cs="David" w:hint="cs"/>
          <w:b/>
          <w:bCs/>
          <w:spacing w:val="10"/>
          <w:sz w:val="20"/>
          <w:szCs w:val="20"/>
          <w:rtl/>
        </w:rPr>
        <w:t xml:space="preserve">"מכל מקום, איננו נדרשים להכריע בשאלות אלה ולקבוע באופן מדויק את גבולות תחולתו של סעיף 300(א)(3) לחוק...........עשיתי כן כדי להפנות תשומת לב לכך שהשימוש אשר ניתן לעשות בדוקטרינה, המאפשרת הרשעה ברצח גם ללא היסוד הנפשי המחמיר הדרוש לשם כך, מעורר קושי שיש לתת עליו את הדעת. יוער, כי הקשיים המעשיים והתיאורטיים הכרוכים בשימוש בדוקטרינה זו התעוררו ונידונו בשיטות האחרות שקיבלו אף הן את הדוקטרינה ממקורות המשפט האנגלי. כך, למשל, בוטלה דוקטרינה זו באנגליה כבר בשנת 1957, והיא מעוררת ביקורת רבה בכתיבה האקדמית בארצות הברית ובמדינות בהן עדיין עושים בה </w:t>
      </w:r>
      <w:r>
        <w:rPr>
          <w:rFonts w:ascii="Arial TUR" w:hAnsi="Arial TUR" w:cs="David" w:hint="cs"/>
          <w:b/>
          <w:bCs/>
          <w:spacing w:val="10"/>
          <w:sz w:val="20"/>
          <w:szCs w:val="20"/>
          <w:rtl/>
        </w:rPr>
        <w:t>....</w:t>
      </w:r>
      <w:r w:rsidRPr="007A1E60">
        <w:rPr>
          <w:rFonts w:ascii="Arial TUR" w:hAnsi="Arial TUR" w:cs="David" w:hint="cs"/>
          <w:b/>
          <w:bCs/>
          <w:spacing w:val="10"/>
          <w:sz w:val="20"/>
          <w:szCs w:val="20"/>
          <w:rtl/>
        </w:rPr>
        <w:t xml:space="preserve"> גם בישראל הוגשה הצעת חוק המבקשת לבטל סעיפים אלה, אולם טרם התגבשה לכלל חקיקה. בדברי ההסבר להצעת החוק הודגש, כי השינוי המוצע </w:t>
      </w:r>
    </w:p>
    <w:p w:rsidR="00380327" w:rsidRPr="007A1E60" w:rsidRDefault="00380327" w:rsidP="00380327">
      <w:pPr>
        <w:pStyle w:val="Ruller5"/>
        <w:rPr>
          <w:rFonts w:eastAsiaTheme="minorHAnsi" w:cs="David"/>
          <w:b/>
          <w:bCs/>
          <w:sz w:val="20"/>
          <w:szCs w:val="20"/>
          <w:rtl/>
        </w:rPr>
      </w:pPr>
      <w:r w:rsidRPr="007A1E60">
        <w:rPr>
          <w:rFonts w:eastAsiaTheme="minorHAnsi" w:cs="David" w:hint="cs"/>
          <w:b/>
          <w:bCs/>
          <w:sz w:val="20"/>
          <w:szCs w:val="20"/>
          <w:rtl/>
        </w:rPr>
        <w:t>"נעשה מתוך התפיסה כי אשמתו של מי שממית ללא כוונה קטלנית, אינה יכולה להשתוות לאשמתו של מי שממית בכוונה. אכן, יש להעניש בחומרה מי שממית תוך כדי בריחה או תוך ביצוע עבירה. עם זאת, מקומה של ההחמרה הינו בגדר השיקולים לעונש של בית המשפט ולא בהגדרת העבירה, ולמצער, לא בגדר עבירה הרצח מדרגה ראשונה.</w:t>
      </w:r>
      <w:r>
        <w:rPr>
          <w:rFonts w:eastAsiaTheme="minorHAnsi" w:cs="David" w:hint="cs"/>
          <w:b/>
          <w:bCs/>
          <w:sz w:val="20"/>
          <w:szCs w:val="20"/>
          <w:rtl/>
        </w:rPr>
        <w:t>....</w:t>
      </w:r>
      <w:r w:rsidRPr="007A1E60">
        <w:rPr>
          <w:rFonts w:eastAsiaTheme="minorHAnsi" w:cs="David" w:hint="cs"/>
          <w:b/>
          <w:bCs/>
          <w:sz w:val="20"/>
          <w:szCs w:val="20"/>
          <w:rtl/>
        </w:rPr>
        <w:t xml:space="preserve"> " (ה"ח פ/1998/17, מיום 22.1.07)</w:t>
      </w:r>
    </w:p>
    <w:p w:rsidR="00380327" w:rsidRPr="007A1E60" w:rsidRDefault="00380327" w:rsidP="00380327">
      <w:pPr>
        <w:pStyle w:val="Ruller5"/>
        <w:rPr>
          <w:rFonts w:cs="David"/>
          <w:sz w:val="20"/>
          <w:szCs w:val="20"/>
          <w:rtl/>
        </w:rPr>
      </w:pPr>
    </w:p>
    <w:p w:rsidR="00380327" w:rsidRDefault="00380327" w:rsidP="00380327">
      <w:pPr>
        <w:spacing w:after="0" w:line="240" w:lineRule="auto"/>
        <w:jc w:val="both"/>
        <w:rPr>
          <w:rtl/>
        </w:rPr>
      </w:pPr>
      <w:r w:rsidRPr="007A1E60">
        <w:rPr>
          <w:rFonts w:ascii="Arial TUR" w:hAnsi="Arial TUR" w:cs="David" w:hint="cs"/>
          <w:b/>
          <w:bCs/>
          <w:spacing w:val="10"/>
          <w:sz w:val="20"/>
          <w:szCs w:val="20"/>
          <w:rtl/>
        </w:rPr>
        <w:t xml:space="preserve">עוד יצוין, כי כיום פועל משרד המשפטים לגיבוש רפורמה כוללת ביחס לעבירות ההמתה בישראל, ויש לקוות כי בתוך כך יימצא פתרון גם לקשיים השונים אותם מעוררת פרשנות הוראת סעיף 300(א)(3).". </w:t>
      </w:r>
    </w:p>
  </w:footnote>
  <w:footnote w:id="6">
    <w:p w:rsidR="00380327" w:rsidRDefault="00380327" w:rsidP="00380327">
      <w:pPr>
        <w:pStyle w:val="a5"/>
      </w:pPr>
      <w:r>
        <w:rPr>
          <w:rStyle w:val="a7"/>
        </w:rPr>
        <w:footnoteRef/>
      </w:r>
      <w:r>
        <w:rPr>
          <w:rtl/>
        </w:rPr>
        <w:t xml:space="preserve"> </w:t>
      </w:r>
      <w:r>
        <w:rPr>
          <w:rFonts w:hint="cs"/>
          <w:rtl/>
        </w:rPr>
        <w:t xml:space="preserve">ע"פ 4711/03 </w:t>
      </w:r>
      <w:r w:rsidRPr="0092428C">
        <w:rPr>
          <w:rFonts w:hint="cs"/>
          <w:b/>
          <w:bCs/>
          <w:rtl/>
        </w:rPr>
        <w:t>אבו זייד נגד מדינת ישראל</w:t>
      </w:r>
      <w:r>
        <w:rPr>
          <w:rFonts w:hint="cs"/>
          <w:rtl/>
        </w:rPr>
        <w:t xml:space="preserve"> (פורסם ביום 15.1.09).</w:t>
      </w:r>
    </w:p>
  </w:footnote>
  <w:footnote w:id="7">
    <w:p w:rsidR="00380327" w:rsidRDefault="00380327" w:rsidP="00380327">
      <w:pPr>
        <w:pStyle w:val="a5"/>
        <w:rPr>
          <w:rtl/>
        </w:rPr>
      </w:pPr>
      <w:r>
        <w:rPr>
          <w:rStyle w:val="a7"/>
        </w:rPr>
        <w:footnoteRef/>
      </w:r>
      <w:r>
        <w:rPr>
          <w:rtl/>
        </w:rPr>
        <w:t xml:space="preserve"> </w:t>
      </w:r>
      <w:r>
        <w:rPr>
          <w:rFonts w:hint="cs"/>
          <w:rtl/>
        </w:rPr>
        <w:t xml:space="preserve">ע"פ 6026/11 </w:t>
      </w:r>
      <w:r w:rsidRPr="00AA2A54">
        <w:rPr>
          <w:rFonts w:hint="cs"/>
          <w:b/>
          <w:bCs/>
          <w:rtl/>
        </w:rPr>
        <w:t>טמטאווי נ' מדינת ישראל</w:t>
      </w:r>
      <w:r>
        <w:rPr>
          <w:rFonts w:hint="cs"/>
          <w:rtl/>
        </w:rPr>
        <w:t xml:space="preserve"> (ניתן ביום 24.8.15).</w:t>
      </w:r>
    </w:p>
  </w:footnote>
  <w:footnote w:id="8">
    <w:p w:rsidR="00380327" w:rsidRDefault="00380327" w:rsidP="00380327">
      <w:pPr>
        <w:pStyle w:val="a5"/>
        <w:rPr>
          <w:rFonts w:hint="cs"/>
        </w:rPr>
      </w:pPr>
      <w:r>
        <w:rPr>
          <w:rStyle w:val="a7"/>
        </w:rPr>
        <w:footnoteRef/>
      </w:r>
      <w:r>
        <w:rPr>
          <w:rtl/>
        </w:rPr>
        <w:t xml:space="preserve"> </w:t>
      </w:r>
      <w:r>
        <w:rPr>
          <w:rFonts w:hint="cs"/>
          <w:rtl/>
        </w:rPr>
        <w:t xml:space="preserve">ראו למשל ע"פ 3768/08 </w:t>
      </w:r>
      <w:r w:rsidRPr="005D60B6">
        <w:rPr>
          <w:rFonts w:hint="cs"/>
          <w:b/>
          <w:bCs/>
          <w:rtl/>
        </w:rPr>
        <w:t>סלאמה נגד מדינת ישראל</w:t>
      </w:r>
      <w:r>
        <w:rPr>
          <w:rFonts w:hint="cs"/>
          <w:rtl/>
        </w:rPr>
        <w:t xml:space="preserve"> (ניתן ביום 7.11.10), </w:t>
      </w:r>
      <w:hyperlink r:id="rId1" w:history="1">
        <w:r w:rsidRPr="00147C0C">
          <w:rPr>
            <w:rtl/>
          </w:rPr>
          <w:t xml:space="preserve">ע"פ 3647/15 </w:t>
        </w:r>
        <w:r w:rsidRPr="00147C0C">
          <w:rPr>
            <w:b/>
            <w:bCs/>
            <w:rtl/>
          </w:rPr>
          <w:t>אחמד אלעאסם נ' מדינת ישראל</w:t>
        </w:r>
        <w:r w:rsidRPr="00147C0C">
          <w:rPr>
            <w:rtl/>
          </w:rPr>
          <w:t xml:space="preserve"> (</w:t>
        </w:r>
        <w:r>
          <w:rPr>
            <w:rFonts w:hint="cs"/>
            <w:rtl/>
          </w:rPr>
          <w:t>ניתן ביום</w:t>
        </w:r>
        <w:r w:rsidRPr="00147C0C">
          <w:rPr>
            <w:rtl/>
          </w:rPr>
          <w:t xml:space="preserve"> 29.03.2017)</w:t>
        </w:r>
      </w:hyperlink>
      <w:r>
        <w:rPr>
          <w:rFonts w:hint="cs"/>
          <w:rtl/>
        </w:rPr>
        <w:t>.</w:t>
      </w:r>
    </w:p>
  </w:footnote>
  <w:footnote w:id="9">
    <w:p w:rsidR="00380327" w:rsidRPr="005D60B6" w:rsidRDefault="00380327" w:rsidP="00380327">
      <w:pPr>
        <w:pStyle w:val="a5"/>
        <w:rPr>
          <w:rFonts w:hint="cs"/>
          <w:rtl/>
        </w:rPr>
      </w:pPr>
      <w:r w:rsidRPr="00FA42E4">
        <w:rPr>
          <w:rStyle w:val="a7"/>
          <w:b/>
          <w:bCs/>
        </w:rPr>
        <w:footnoteRef/>
      </w:r>
      <w:r w:rsidRPr="00FA42E4">
        <w:rPr>
          <w:rtl/>
        </w:rPr>
        <w:t xml:space="preserve"> </w:t>
      </w:r>
      <w:hyperlink r:id="rId2" w:history="1">
        <w:r w:rsidRPr="00FA42E4">
          <w:rPr>
            <w:color w:val="auto"/>
            <w:rtl/>
          </w:rPr>
          <w:t xml:space="preserve">ע"פ 10358/08 </w:t>
        </w:r>
        <w:r w:rsidRPr="00FA42E4">
          <w:rPr>
            <w:b/>
            <w:bCs/>
            <w:color w:val="auto"/>
            <w:rtl/>
          </w:rPr>
          <w:t>איסמעיל אזברגה נ' מדינת ישראל</w:t>
        </w:r>
        <w:r w:rsidRPr="00FA42E4">
          <w:rPr>
            <w:color w:val="auto"/>
            <w:rtl/>
          </w:rPr>
          <w:t xml:space="preserve"> (</w:t>
        </w:r>
        <w:r w:rsidRPr="00FA42E4">
          <w:rPr>
            <w:rFonts w:hint="cs"/>
            <w:color w:val="auto"/>
            <w:rtl/>
          </w:rPr>
          <w:t>ניתן ביום</w:t>
        </w:r>
        <w:r w:rsidRPr="00FA42E4">
          <w:rPr>
            <w:color w:val="auto"/>
            <w:rtl/>
          </w:rPr>
          <w:t xml:space="preserve"> 16.03.2010)</w:t>
        </w:r>
      </w:hyperlink>
      <w:r w:rsidRPr="00FA42E4">
        <w:rPr>
          <w:rFonts w:hint="cs"/>
          <w:rtl/>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4D258F"/>
    <w:multiLevelType w:val="hybridMultilevel"/>
    <w:tmpl w:val="3A96E278"/>
    <w:lvl w:ilvl="0" w:tplc="0409000F">
      <w:start w:val="7"/>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292C3199"/>
    <w:multiLevelType w:val="hybridMultilevel"/>
    <w:tmpl w:val="015C6B9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3C716A03"/>
    <w:multiLevelType w:val="hybridMultilevel"/>
    <w:tmpl w:val="E46EE0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2987333"/>
    <w:multiLevelType w:val="hybridMultilevel"/>
    <w:tmpl w:val="FFFA9E68"/>
    <w:lvl w:ilvl="0" w:tplc="D5000F1C">
      <w:start w:val="1"/>
      <w:numFmt w:val="decimal"/>
      <w:lvlText w:val="(%1)"/>
      <w:lvlJc w:val="left"/>
      <w:pPr>
        <w:ind w:left="1471" w:hanging="450"/>
      </w:pPr>
      <w:rPr>
        <w:rFonts w:hint="default"/>
      </w:rPr>
    </w:lvl>
    <w:lvl w:ilvl="1" w:tplc="04090019" w:tentative="1">
      <w:start w:val="1"/>
      <w:numFmt w:val="lowerLetter"/>
      <w:lvlText w:val="%2."/>
      <w:lvlJc w:val="left"/>
      <w:pPr>
        <w:ind w:left="2101" w:hanging="360"/>
      </w:pPr>
    </w:lvl>
    <w:lvl w:ilvl="2" w:tplc="0409001B" w:tentative="1">
      <w:start w:val="1"/>
      <w:numFmt w:val="lowerRoman"/>
      <w:lvlText w:val="%3."/>
      <w:lvlJc w:val="right"/>
      <w:pPr>
        <w:ind w:left="2821" w:hanging="180"/>
      </w:pPr>
    </w:lvl>
    <w:lvl w:ilvl="3" w:tplc="0409000F" w:tentative="1">
      <w:start w:val="1"/>
      <w:numFmt w:val="decimal"/>
      <w:lvlText w:val="%4."/>
      <w:lvlJc w:val="left"/>
      <w:pPr>
        <w:ind w:left="3541" w:hanging="360"/>
      </w:pPr>
    </w:lvl>
    <w:lvl w:ilvl="4" w:tplc="04090019" w:tentative="1">
      <w:start w:val="1"/>
      <w:numFmt w:val="lowerLetter"/>
      <w:lvlText w:val="%5."/>
      <w:lvlJc w:val="left"/>
      <w:pPr>
        <w:ind w:left="4261" w:hanging="360"/>
      </w:pPr>
    </w:lvl>
    <w:lvl w:ilvl="5" w:tplc="0409001B" w:tentative="1">
      <w:start w:val="1"/>
      <w:numFmt w:val="lowerRoman"/>
      <w:lvlText w:val="%6."/>
      <w:lvlJc w:val="right"/>
      <w:pPr>
        <w:ind w:left="4981" w:hanging="180"/>
      </w:pPr>
    </w:lvl>
    <w:lvl w:ilvl="6" w:tplc="0409000F" w:tentative="1">
      <w:start w:val="1"/>
      <w:numFmt w:val="decimal"/>
      <w:lvlText w:val="%7."/>
      <w:lvlJc w:val="left"/>
      <w:pPr>
        <w:ind w:left="5701" w:hanging="360"/>
      </w:pPr>
    </w:lvl>
    <w:lvl w:ilvl="7" w:tplc="04090019" w:tentative="1">
      <w:start w:val="1"/>
      <w:numFmt w:val="lowerLetter"/>
      <w:lvlText w:val="%8."/>
      <w:lvlJc w:val="left"/>
      <w:pPr>
        <w:ind w:left="6421" w:hanging="360"/>
      </w:pPr>
    </w:lvl>
    <w:lvl w:ilvl="8" w:tplc="0409001B" w:tentative="1">
      <w:start w:val="1"/>
      <w:numFmt w:val="lowerRoman"/>
      <w:lvlText w:val="%9."/>
      <w:lvlJc w:val="right"/>
      <w:pPr>
        <w:ind w:left="7141"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0327"/>
    <w:rsid w:val="00365401"/>
    <w:rsid w:val="00380327"/>
    <w:rsid w:val="00574301"/>
    <w:rsid w:val="00A4334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F43845DA-E16B-49AC-8E27-55AC2DE75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0327"/>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efault">
    <w:name w:val="default"/>
    <w:rsid w:val="00380327"/>
    <w:rPr>
      <w:rFonts w:ascii="Times New Roman" w:hAnsi="Times New Roman" w:cs="Times New Roman"/>
      <w:sz w:val="26"/>
      <w:szCs w:val="26"/>
    </w:rPr>
  </w:style>
  <w:style w:type="paragraph" w:customStyle="1" w:styleId="P22">
    <w:name w:val="P22"/>
    <w:basedOn w:val="a"/>
    <w:rsid w:val="00380327"/>
    <w:pPr>
      <w:widowControl w:val="0"/>
      <w:tabs>
        <w:tab w:val="left" w:pos="1474"/>
        <w:tab w:val="left" w:pos="1928"/>
        <w:tab w:val="left" w:pos="2381"/>
        <w:tab w:val="left" w:pos="2835"/>
        <w:tab w:val="right" w:leader="dot" w:pos="6259"/>
      </w:tabs>
      <w:suppressAutoHyphens/>
      <w:autoSpaceDE w:val="0"/>
      <w:autoSpaceDN w:val="0"/>
      <w:spacing w:before="60" w:after="0" w:line="240" w:lineRule="auto"/>
      <w:ind w:left="2835" w:right="1021"/>
      <w:jc w:val="both"/>
    </w:pPr>
    <w:rPr>
      <w:rFonts w:ascii="Times New Roman" w:eastAsia="Times New Roman" w:hAnsi="Times New Roman" w:cs="Times New Roman"/>
      <w:noProof/>
      <w:sz w:val="20"/>
      <w:szCs w:val="26"/>
      <w:lang w:eastAsia="he-IL"/>
    </w:rPr>
  </w:style>
  <w:style w:type="table" w:styleId="a3">
    <w:name w:val="Table Grid"/>
    <w:basedOn w:val="a1"/>
    <w:uiPriority w:val="39"/>
    <w:rsid w:val="003803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380327"/>
    <w:pPr>
      <w:ind w:left="720"/>
      <w:contextualSpacing/>
    </w:pPr>
  </w:style>
  <w:style w:type="paragraph" w:styleId="a5">
    <w:name w:val="footnote text"/>
    <w:basedOn w:val="a"/>
    <w:link w:val="a6"/>
    <w:autoRedefine/>
    <w:semiHidden/>
    <w:rsid w:val="00380327"/>
    <w:pPr>
      <w:widowControl w:val="0"/>
      <w:autoSpaceDE w:val="0"/>
      <w:autoSpaceDN w:val="0"/>
      <w:adjustRightInd w:val="0"/>
      <w:snapToGrid w:val="0"/>
      <w:spacing w:after="0" w:line="240" w:lineRule="auto"/>
      <w:ind w:left="227" w:hanging="227"/>
      <w:textAlignment w:val="center"/>
    </w:pPr>
    <w:rPr>
      <w:rFonts w:ascii="Arial" w:eastAsia="Arial Unicode MS" w:hAnsi="Arial" w:cs="David"/>
      <w:snapToGrid w:val="0"/>
      <w:color w:val="000000"/>
      <w:sz w:val="14"/>
      <w:szCs w:val="20"/>
      <w:lang w:eastAsia="ja-JP"/>
    </w:rPr>
  </w:style>
  <w:style w:type="character" w:customStyle="1" w:styleId="a6">
    <w:name w:val="טקסט הערת שוליים תו"/>
    <w:basedOn w:val="a0"/>
    <w:link w:val="a5"/>
    <w:semiHidden/>
    <w:rsid w:val="00380327"/>
    <w:rPr>
      <w:rFonts w:ascii="Arial" w:eastAsia="Arial Unicode MS" w:hAnsi="Arial" w:cs="David"/>
      <w:snapToGrid w:val="0"/>
      <w:color w:val="000000"/>
      <w:sz w:val="14"/>
      <w:szCs w:val="20"/>
      <w:lang w:eastAsia="ja-JP"/>
    </w:rPr>
  </w:style>
  <w:style w:type="character" w:styleId="a7">
    <w:name w:val="footnote reference"/>
    <w:semiHidden/>
    <w:rsid w:val="00380327"/>
    <w:rPr>
      <w:vertAlign w:val="superscript"/>
    </w:rPr>
  </w:style>
  <w:style w:type="paragraph" w:customStyle="1" w:styleId="Ruller5">
    <w:name w:val="Ruller5"/>
    <w:basedOn w:val="a"/>
    <w:rsid w:val="00380327"/>
    <w:pPr>
      <w:overflowPunct w:val="0"/>
      <w:autoSpaceDE w:val="0"/>
      <w:autoSpaceDN w:val="0"/>
      <w:adjustRightInd w:val="0"/>
      <w:spacing w:after="0" w:line="240" w:lineRule="auto"/>
      <w:ind w:left="1642" w:right="1282"/>
      <w:jc w:val="both"/>
    </w:pPr>
    <w:rPr>
      <w:rFonts w:ascii="Arial TUR" w:eastAsia="Times New Roman" w:hAnsi="Arial TUR" w:cs="FrankRuehl"/>
      <w:spacing w:val="10"/>
      <w:szCs w:val="28"/>
    </w:rPr>
  </w:style>
  <w:style w:type="paragraph" w:customStyle="1" w:styleId="Ruller4">
    <w:name w:val="Ruller4"/>
    <w:basedOn w:val="a"/>
    <w:link w:val="Ruller40"/>
    <w:rsid w:val="00380327"/>
    <w:pPr>
      <w:tabs>
        <w:tab w:val="left" w:pos="800"/>
      </w:tabs>
      <w:overflowPunct w:val="0"/>
      <w:autoSpaceDE w:val="0"/>
      <w:autoSpaceDN w:val="0"/>
      <w:adjustRightInd w:val="0"/>
      <w:spacing w:after="0" w:line="360" w:lineRule="auto"/>
      <w:jc w:val="both"/>
    </w:pPr>
    <w:rPr>
      <w:rFonts w:ascii="Arial TUR" w:hAnsi="Arial TUR" w:cs="FrankRuehl"/>
      <w:spacing w:val="10"/>
      <w:szCs w:val="28"/>
    </w:rPr>
  </w:style>
  <w:style w:type="character" w:customStyle="1" w:styleId="Ruller40">
    <w:name w:val="Ruller4 תו"/>
    <w:basedOn w:val="a0"/>
    <w:link w:val="Ruller4"/>
    <w:locked/>
    <w:rsid w:val="00380327"/>
    <w:rPr>
      <w:rFonts w:ascii="Arial TUR" w:hAnsi="Arial TUR" w:cs="FrankRuehl"/>
      <w:spacing w:val="10"/>
      <w:szCs w:val="28"/>
    </w:rPr>
  </w:style>
  <w:style w:type="paragraph" w:styleId="a8">
    <w:name w:val="footer"/>
    <w:basedOn w:val="a"/>
    <w:link w:val="a9"/>
    <w:uiPriority w:val="99"/>
    <w:unhideWhenUsed/>
    <w:rsid w:val="00380327"/>
    <w:pPr>
      <w:tabs>
        <w:tab w:val="center" w:pos="4153"/>
        <w:tab w:val="right" w:pos="8306"/>
      </w:tabs>
      <w:spacing w:after="0" w:line="240" w:lineRule="auto"/>
    </w:pPr>
  </w:style>
  <w:style w:type="character" w:customStyle="1" w:styleId="a9">
    <w:name w:val="כותרת תחתונה תו"/>
    <w:basedOn w:val="a0"/>
    <w:link w:val="a8"/>
    <w:uiPriority w:val="99"/>
    <w:rsid w:val="003803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evo.co.il/law/70301/300.a.4" TargetMode="External"/><Relationship Id="rId13" Type="http://schemas.openxmlformats.org/officeDocument/2006/relationships/hyperlink" Target="http://www.nevo.co.il/law/70301/300.a.3" TargetMode="External"/><Relationship Id="rId1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http://www.nevo.co.il/safrut/book/3585" TargetMode="External"/><Relationship Id="rId12" Type="http://schemas.openxmlformats.org/officeDocument/2006/relationships/hyperlink" Target="http://www.nevo.co.il/law/70301/300.a.3"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evo.co.il/law/70301"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nevo.co.il/law/70301/300.a.4" TargetMode="External"/><Relationship Id="rId1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hyperlink" Target="http://www.nevo.co.il/law/70301" TargetMode="External"/><Relationship Id="rId14" Type="http://schemas.openxmlformats.org/officeDocument/2006/relationships/hyperlink" Target="https://www.nevo.co.il/psika_html/elyon/08103580-h03.htm"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nevo.co.il/psika_html/elyon/08103580-h03.htm" TargetMode="External"/><Relationship Id="rId1" Type="http://schemas.openxmlformats.org/officeDocument/2006/relationships/hyperlink" Target="https://www.nevo.co.il/psika_html/elyon/15036470-i04.htm"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13C6FC-02A0-4227-9EA0-AE2701A54BCF}"/>
</file>

<file path=customXml/itemProps2.xml><?xml version="1.0" encoding="utf-8"?>
<ds:datastoreItem xmlns:ds="http://schemas.openxmlformats.org/officeDocument/2006/customXml" ds:itemID="{92E1FDF1-DC13-426A-B667-7714D46744F7}"/>
</file>

<file path=customXml/itemProps3.xml><?xml version="1.0" encoding="utf-8"?>
<ds:datastoreItem xmlns:ds="http://schemas.openxmlformats.org/officeDocument/2006/customXml" ds:itemID="{3603F897-21CB-4093-802B-CD6DE6403C85}"/>
</file>

<file path=docProps/app.xml><?xml version="1.0" encoding="utf-8"?>
<Properties xmlns="http://schemas.openxmlformats.org/officeDocument/2006/extended-properties" xmlns:vt="http://schemas.openxmlformats.org/officeDocument/2006/docPropsVTypes">
  <Template>Normal</Template>
  <TotalTime>0</TotalTime>
  <Pages>1</Pages>
  <Words>4401</Words>
  <Characters>22006</Characters>
  <Application>Microsoft Office Word</Application>
  <DocSecurity>0</DocSecurity>
  <Lines>183</Lines>
  <Paragraphs>52</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26355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נועה ברודסקי לוי</dc:creator>
  <cp:keywords/>
  <dc:description/>
  <cp:lastModifiedBy>נועה ברודסקי לוי</cp:lastModifiedBy>
  <cp:revision>1</cp:revision>
  <dcterms:created xsi:type="dcterms:W3CDTF">2017-10-30T16:09:00Z</dcterms:created>
  <dcterms:modified xsi:type="dcterms:W3CDTF">2017-10-30T16:10:00Z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2064097</vt:r8>
  </property>
</Properties>
</file>