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3D2446" w14:textId="77777777" w:rsidR="0029216B" w:rsidRPr="0000131B" w:rsidRDefault="0029216B" w:rsidP="0029216B">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568291</w:t>
      </w:r>
      <w:bookmarkEnd w:id="1"/>
    </w:p>
    <w:p w14:paraId="23A58A97" w14:textId="77777777" w:rsidR="0029216B" w:rsidRPr="00DB7060" w:rsidRDefault="0029216B" w:rsidP="0029216B">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20C291C2" w14:textId="77777777" w:rsidR="0029216B" w:rsidRPr="00F67051" w:rsidRDefault="0029216B" w:rsidP="0029216B">
      <w:pPr>
        <w:rPr>
          <w:rFonts w:cs="David"/>
          <w:b/>
          <w:bCs/>
          <w:sz w:val="26"/>
          <w:szCs w:val="26"/>
          <w:rtl/>
        </w:rPr>
      </w:pPr>
    </w:p>
    <w:p w14:paraId="635E7D37" w14:textId="77777777" w:rsidR="0029216B" w:rsidRDefault="0029216B" w:rsidP="0029216B">
      <w:pPr>
        <w:pStyle w:val="David"/>
        <w:spacing w:line="360" w:lineRule="auto"/>
        <w:ind w:left="3544"/>
        <w:rPr>
          <w:b/>
          <w:bCs/>
          <w:rtl/>
        </w:rPr>
      </w:pPr>
      <w:bookmarkStart w:id="3" w:name="LGS_Initiators_List"/>
      <w:r>
        <w:rPr>
          <w:b/>
          <w:bCs/>
          <w:rtl/>
        </w:rPr>
        <w:t>יוזמים:      חברי הכנסת</w:t>
      </w:r>
      <w:bookmarkEnd w:id="3"/>
      <w:r w:rsidRPr="00F67051">
        <w:rPr>
          <w:b/>
          <w:bCs/>
        </w:rPr>
        <w:tab/>
      </w:r>
      <w:bookmarkStart w:id="4" w:name="LGS_PM_Names"/>
      <w:r>
        <w:rPr>
          <w:rFonts w:hint="cs"/>
          <w:b/>
          <w:bCs/>
          <w:rtl/>
        </w:rPr>
        <w:t>ניסן סלומינסקי</w:t>
      </w:r>
      <w:r>
        <w:br/>
      </w:r>
      <w:r>
        <w:rPr>
          <w:rFonts w:hint="cs"/>
          <w:b/>
          <w:bCs/>
          <w:rtl/>
        </w:rPr>
        <w:t xml:space="preserve"> </w:t>
      </w:r>
      <w:r>
        <w:tab/>
      </w:r>
      <w:r>
        <w:tab/>
      </w:r>
      <w:r>
        <w:tab/>
      </w:r>
      <w:r>
        <w:tab/>
      </w:r>
      <w:r>
        <w:rPr>
          <w:rFonts w:hint="cs"/>
          <w:b/>
          <w:bCs/>
          <w:rtl/>
        </w:rPr>
        <w:t>מרדכי יוגב</w:t>
      </w:r>
      <w:bookmarkEnd w:id="4"/>
    </w:p>
    <w:p w14:paraId="3AF69A98" w14:textId="77777777" w:rsidR="0029216B" w:rsidRPr="00CF1AA2" w:rsidRDefault="0029216B" w:rsidP="0029216B">
      <w:pPr>
        <w:pStyle w:val="David"/>
        <w:spacing w:before="0" w:line="360" w:lineRule="auto"/>
        <w:ind w:left="3544"/>
        <w:rPr>
          <w:b/>
          <w:bCs/>
          <w:sz w:val="16"/>
          <w:szCs w:val="16"/>
          <w:rtl/>
        </w:rPr>
      </w:pPr>
      <w:bookmarkStart w:id="5" w:name="LGS_Join_List"/>
      <w:r>
        <w:rPr>
          <w:rtl/>
        </w:rPr>
        <w:t xml:space="preserve"> </w:t>
      </w:r>
      <w:bookmarkEnd w:id="5"/>
      <w:r w:rsidRPr="00CF1AA2">
        <w:rPr>
          <w:rFonts w:hint="cs"/>
          <w:rtl/>
        </w:rPr>
        <w:tab/>
      </w:r>
      <w:bookmarkStart w:id="6" w:name="LGS_PM_NamesJoin"/>
      <w:r>
        <w:rPr>
          <w:rFonts w:hint="cs"/>
          <w:rtl/>
        </w:rPr>
        <w:t xml:space="preserve"> </w:t>
      </w:r>
      <w:bookmarkEnd w:id="6"/>
    </w:p>
    <w:p w14:paraId="21959D7A" w14:textId="77777777" w:rsidR="0029216B" w:rsidRPr="00904591" w:rsidRDefault="0029216B" w:rsidP="0029216B">
      <w:pPr>
        <w:pStyle w:val="David"/>
        <w:spacing w:before="0" w:line="36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03C70626" w14:textId="77777777" w:rsidR="0029216B" w:rsidRPr="00E06736" w:rsidRDefault="0029216B" w:rsidP="0029216B">
      <w:pPr>
        <w:pStyle w:val="David"/>
        <w:spacing w:before="0" w:line="240" w:lineRule="auto"/>
        <w:ind w:left="3544"/>
        <w:rPr>
          <w:rtl/>
        </w:rPr>
      </w:pPr>
      <w:r>
        <w:t xml:space="preserve">                                             </w:t>
      </w:r>
      <w:bookmarkStart w:id="7" w:name="Private_Number"/>
      <w:r>
        <w:rPr>
          <w:rFonts w:hint="cs"/>
          <w:rtl/>
        </w:rPr>
        <w:t>פ/2139/20</w:t>
      </w:r>
      <w:bookmarkEnd w:id="7"/>
    </w:p>
    <w:p w14:paraId="05439575" w14:textId="77777777" w:rsidR="0029216B" w:rsidRDefault="0029216B" w:rsidP="0029216B">
      <w:pPr>
        <w:spacing w:before="0" w:line="360" w:lineRule="auto"/>
        <w:ind w:left="2880" w:firstLine="720"/>
        <w:rPr>
          <w:rFonts w:cs="David"/>
          <w:sz w:val="26"/>
          <w:szCs w:val="26"/>
          <w:rtl/>
        </w:rPr>
      </w:pPr>
    </w:p>
    <w:p w14:paraId="0CC95F15" w14:textId="77777777" w:rsidR="0029216B" w:rsidRPr="00F67051" w:rsidRDefault="0029216B" w:rsidP="0029216B">
      <w:pPr>
        <w:pStyle w:val="HeadHatzaotHok"/>
        <w:rPr>
          <w:rtl/>
        </w:rPr>
      </w:pPr>
      <w:r>
        <w:rPr>
          <w:rFonts w:hint="cs"/>
          <w:rtl/>
        </w:rPr>
        <w:t xml:space="preserve">הצעת חוק הבוררות (תיקון – ערעור לפני בורר), </w:t>
      </w:r>
      <w:proofErr w:type="spellStart"/>
      <w:r>
        <w:rPr>
          <w:rFonts w:hint="cs"/>
          <w:rtl/>
        </w:rPr>
        <w:t>התשע"ו</w:t>
      </w:r>
      <w:proofErr w:type="spellEnd"/>
      <w:r>
        <w:rPr>
          <w:rFonts w:hint="cs"/>
          <w:rtl/>
        </w:rPr>
        <w:t>–2015</w:t>
      </w:r>
    </w:p>
    <w:tbl>
      <w:tblPr>
        <w:bidiVisual/>
        <w:tblW w:w="9637"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519"/>
      </w:tblGrid>
      <w:tr w:rsidR="0029216B" w14:paraId="7399C2F2" w14:textId="77777777" w:rsidTr="00A32617">
        <w:trPr>
          <w:cantSplit/>
        </w:trPr>
        <w:tc>
          <w:tcPr>
            <w:tcW w:w="1870" w:type="dxa"/>
          </w:tcPr>
          <w:p w14:paraId="2451573C" w14:textId="77777777" w:rsidR="0029216B" w:rsidRDefault="0029216B" w:rsidP="00A32617">
            <w:pPr>
              <w:pStyle w:val="TableSideHeading"/>
              <w:keepLines w:val="0"/>
              <w:rPr>
                <w:rtl/>
              </w:rPr>
            </w:pPr>
            <w:r>
              <w:rPr>
                <w:rFonts w:hint="cs"/>
                <w:rtl/>
              </w:rPr>
              <w:t>תיקון סעיף 21א</w:t>
            </w:r>
          </w:p>
        </w:tc>
        <w:tc>
          <w:tcPr>
            <w:tcW w:w="624" w:type="dxa"/>
          </w:tcPr>
          <w:p w14:paraId="5F8C71E3" w14:textId="77777777" w:rsidR="0029216B" w:rsidRDefault="0029216B" w:rsidP="00A32617">
            <w:pPr>
              <w:pStyle w:val="TableText"/>
              <w:keepLines w:val="0"/>
              <w:rPr>
                <w:rtl/>
              </w:rPr>
            </w:pPr>
            <w:r>
              <w:rPr>
                <w:rFonts w:hint="cs"/>
                <w:rtl/>
              </w:rPr>
              <w:t>1.</w:t>
            </w:r>
          </w:p>
        </w:tc>
        <w:tc>
          <w:tcPr>
            <w:tcW w:w="7143" w:type="dxa"/>
            <w:gridSpan w:val="2"/>
          </w:tcPr>
          <w:p w14:paraId="29F9EA2E" w14:textId="77777777" w:rsidR="0029216B" w:rsidRDefault="0029216B" w:rsidP="00A32617">
            <w:pPr>
              <w:pStyle w:val="TableBlock"/>
              <w:rPr>
                <w:rtl/>
              </w:rPr>
            </w:pPr>
            <w:r>
              <w:rPr>
                <w:rFonts w:hint="cs"/>
                <w:rtl/>
              </w:rPr>
              <w:t xml:space="preserve">בחוק הבוררות, </w:t>
            </w:r>
            <w:proofErr w:type="spellStart"/>
            <w:r>
              <w:rPr>
                <w:rFonts w:hint="cs"/>
                <w:rtl/>
              </w:rPr>
              <w:t>התשכ"ח</w:t>
            </w:r>
            <w:proofErr w:type="spellEnd"/>
            <w:r w:rsidRPr="00FC20E8">
              <w:rPr>
                <w:rtl/>
              </w:rPr>
              <w:t>–</w:t>
            </w:r>
            <w:r>
              <w:rPr>
                <w:rFonts w:hint="cs"/>
                <w:rtl/>
              </w:rPr>
              <w:t>1968</w:t>
            </w:r>
            <w:r>
              <w:rPr>
                <w:rStyle w:val="a5"/>
                <w:rtl/>
              </w:rPr>
              <w:footnoteReference w:id="2"/>
            </w:r>
            <w:r>
              <w:rPr>
                <w:rFonts w:hint="cs"/>
                <w:rtl/>
              </w:rPr>
              <w:t xml:space="preserve"> (להלן – החוק העיקרי), בסעיף 21א, בסופו יבוא:</w:t>
            </w:r>
          </w:p>
        </w:tc>
      </w:tr>
      <w:tr w:rsidR="0029216B" w14:paraId="1E1DDC46" w14:textId="77777777" w:rsidTr="00A32617">
        <w:trPr>
          <w:cantSplit/>
        </w:trPr>
        <w:tc>
          <w:tcPr>
            <w:tcW w:w="1870" w:type="dxa"/>
          </w:tcPr>
          <w:p w14:paraId="6CD8AEC1" w14:textId="77777777" w:rsidR="0029216B" w:rsidRDefault="0029216B" w:rsidP="00A32617">
            <w:pPr>
              <w:pStyle w:val="TableSideHeading"/>
              <w:keepLines w:val="0"/>
              <w:rPr>
                <w:rtl/>
              </w:rPr>
            </w:pPr>
          </w:p>
        </w:tc>
        <w:tc>
          <w:tcPr>
            <w:tcW w:w="624" w:type="dxa"/>
          </w:tcPr>
          <w:p w14:paraId="4FB5113B" w14:textId="77777777" w:rsidR="0029216B" w:rsidRDefault="0029216B" w:rsidP="00A32617">
            <w:pPr>
              <w:pStyle w:val="TableText"/>
              <w:keepLines w:val="0"/>
              <w:rPr>
                <w:rtl/>
              </w:rPr>
            </w:pPr>
          </w:p>
        </w:tc>
        <w:tc>
          <w:tcPr>
            <w:tcW w:w="7143" w:type="dxa"/>
            <w:gridSpan w:val="2"/>
          </w:tcPr>
          <w:p w14:paraId="7062ECA8" w14:textId="77777777" w:rsidR="0029216B" w:rsidRDefault="0029216B" w:rsidP="00A32617">
            <w:pPr>
              <w:pStyle w:val="TableBlock"/>
              <w:rPr>
                <w:rtl/>
              </w:rPr>
            </w:pPr>
            <w:r>
              <w:rPr>
                <w:rFonts w:hint="cs"/>
                <w:rtl/>
              </w:rPr>
              <w:t>"(ד)</w:t>
            </w:r>
            <w:r>
              <w:rPr>
                <w:rtl/>
              </w:rPr>
              <w:tab/>
            </w:r>
            <w:r>
              <w:rPr>
                <w:rFonts w:hint="cs"/>
                <w:rtl/>
              </w:rPr>
              <w:t>לא התמנה בורר בערעור בתוך 60 ימים מיום שפסק הבוררות הניתן לערעור הומצא לצדדים, לא ניתן לערער על פסק הבוררות לפני בורר, אלא אם כן קבעו הצדדים אחרת או אם אחד מבעלי הדין הגיש בקשה לבית המשפט למינוי בורר לפי סעיף 8 בתוך 60 הימים או, אם ניתן לכך היתר מבית המשפט מטעמים מיוחדים שירשמו, גם בסמוך להם."</w:t>
            </w:r>
          </w:p>
        </w:tc>
      </w:tr>
      <w:tr w:rsidR="0029216B" w14:paraId="3103B1FE" w14:textId="77777777" w:rsidTr="00A32617">
        <w:trPr>
          <w:cantSplit/>
        </w:trPr>
        <w:tc>
          <w:tcPr>
            <w:tcW w:w="1870" w:type="dxa"/>
          </w:tcPr>
          <w:p w14:paraId="7A982AFD" w14:textId="77777777" w:rsidR="0029216B" w:rsidRDefault="0029216B" w:rsidP="00A32617">
            <w:pPr>
              <w:pStyle w:val="TableSideHeading"/>
              <w:keepLines w:val="0"/>
            </w:pPr>
            <w:r>
              <w:rPr>
                <w:rFonts w:hint="cs"/>
                <w:rtl/>
              </w:rPr>
              <w:t>תיקון התוספת השנייה</w:t>
            </w:r>
          </w:p>
        </w:tc>
        <w:tc>
          <w:tcPr>
            <w:tcW w:w="624" w:type="dxa"/>
          </w:tcPr>
          <w:p w14:paraId="3AB629A4" w14:textId="77777777" w:rsidR="0029216B" w:rsidRDefault="0029216B" w:rsidP="00A32617">
            <w:pPr>
              <w:pStyle w:val="TableText"/>
              <w:keepLines w:val="0"/>
            </w:pPr>
            <w:r>
              <w:rPr>
                <w:rFonts w:hint="cs"/>
                <w:rtl/>
              </w:rPr>
              <w:t>2.</w:t>
            </w:r>
          </w:p>
        </w:tc>
        <w:tc>
          <w:tcPr>
            <w:tcW w:w="7143" w:type="dxa"/>
            <w:gridSpan w:val="2"/>
          </w:tcPr>
          <w:p w14:paraId="79684A9F" w14:textId="77777777" w:rsidR="0029216B" w:rsidRPr="00C34DE2" w:rsidRDefault="0029216B" w:rsidP="00A32617">
            <w:pPr>
              <w:pStyle w:val="TableBlock"/>
            </w:pPr>
            <w:r>
              <w:rPr>
                <w:rFonts w:hint="cs"/>
                <w:rtl/>
              </w:rPr>
              <w:t>בתוספת השנייה לחוק העיקרי –</w:t>
            </w:r>
          </w:p>
        </w:tc>
      </w:tr>
      <w:tr w:rsidR="0029216B" w14:paraId="2C4407F1" w14:textId="77777777" w:rsidTr="00A32617">
        <w:trPr>
          <w:cantSplit/>
        </w:trPr>
        <w:tc>
          <w:tcPr>
            <w:tcW w:w="1870" w:type="dxa"/>
          </w:tcPr>
          <w:p w14:paraId="75D03D67" w14:textId="77777777" w:rsidR="0029216B" w:rsidRDefault="0029216B" w:rsidP="00A32617">
            <w:pPr>
              <w:pStyle w:val="TableSideHeading"/>
              <w:keepLines w:val="0"/>
            </w:pPr>
          </w:p>
        </w:tc>
        <w:tc>
          <w:tcPr>
            <w:tcW w:w="624" w:type="dxa"/>
          </w:tcPr>
          <w:p w14:paraId="50D09A58" w14:textId="77777777" w:rsidR="0029216B" w:rsidRDefault="0029216B" w:rsidP="00A32617">
            <w:pPr>
              <w:pStyle w:val="TableText"/>
              <w:keepLines w:val="0"/>
            </w:pPr>
          </w:p>
        </w:tc>
        <w:tc>
          <w:tcPr>
            <w:tcW w:w="7143" w:type="dxa"/>
            <w:gridSpan w:val="2"/>
          </w:tcPr>
          <w:p w14:paraId="6DBDFA9B" w14:textId="77777777" w:rsidR="0029216B" w:rsidRPr="00C34DE2" w:rsidRDefault="0029216B" w:rsidP="00A32617">
            <w:pPr>
              <w:pStyle w:val="TableBlock"/>
            </w:pPr>
            <w:r>
              <w:rPr>
                <w:rFonts w:hint="cs"/>
                <w:rtl/>
              </w:rPr>
              <w:t>(1)</w:t>
            </w:r>
            <w:r>
              <w:rPr>
                <w:rtl/>
              </w:rPr>
              <w:tab/>
            </w:r>
            <w:r>
              <w:rPr>
                <w:rFonts w:hint="cs"/>
                <w:rtl/>
              </w:rPr>
              <w:t>בפרט ה, במקום "</w:t>
            </w:r>
            <w:r w:rsidRPr="00822473">
              <w:rPr>
                <w:rFonts w:hint="cs"/>
                <w:rtl/>
              </w:rPr>
              <w:t>בתוך חודשיים ממועד הסיום של הליך הערעור</w:t>
            </w:r>
            <w:r>
              <w:rPr>
                <w:rFonts w:hint="cs"/>
                <w:rtl/>
              </w:rPr>
              <w:t xml:space="preserve">" יבוא "בתוך </w:t>
            </w:r>
            <w:r w:rsidRPr="00822473">
              <w:rPr>
                <w:rFonts w:hint="cs"/>
                <w:rtl/>
              </w:rPr>
              <w:t xml:space="preserve">שלושה חדשים מהמועד האחרון להגשת תגובה לתשובה </w:t>
            </w:r>
            <w:r>
              <w:rPr>
                <w:rFonts w:hint="cs"/>
                <w:rtl/>
              </w:rPr>
              <w:t>ל</w:t>
            </w:r>
            <w:r w:rsidRPr="00822473">
              <w:rPr>
                <w:rFonts w:hint="cs"/>
                <w:rtl/>
              </w:rPr>
              <w:t>פי פרט ב, אולם</w:t>
            </w:r>
            <w:r>
              <w:rPr>
                <w:rFonts w:hint="cs"/>
                <w:rtl/>
              </w:rPr>
              <w:t>,</w:t>
            </w:r>
            <w:r w:rsidRPr="00822473">
              <w:rPr>
                <w:rFonts w:hint="cs"/>
                <w:rtl/>
              </w:rPr>
              <w:t xml:space="preserve"> רשאי הבורר בערעור להאריך את התקופה עד לשלושה ח</w:t>
            </w:r>
            <w:r>
              <w:rPr>
                <w:rFonts w:hint="cs"/>
                <w:rtl/>
              </w:rPr>
              <w:t>ו</w:t>
            </w:r>
            <w:r w:rsidRPr="00822473">
              <w:rPr>
                <w:rFonts w:hint="cs"/>
                <w:rtl/>
              </w:rPr>
              <w:t>דשים נוספים."</w:t>
            </w:r>
            <w:r>
              <w:rPr>
                <w:rFonts w:hint="cs"/>
                <w:rtl/>
              </w:rPr>
              <w:t>;</w:t>
            </w:r>
          </w:p>
        </w:tc>
      </w:tr>
      <w:tr w:rsidR="0029216B" w14:paraId="3110899F" w14:textId="77777777" w:rsidTr="00A32617">
        <w:trPr>
          <w:cantSplit/>
        </w:trPr>
        <w:tc>
          <w:tcPr>
            <w:tcW w:w="1870" w:type="dxa"/>
          </w:tcPr>
          <w:p w14:paraId="48F1774D" w14:textId="77777777" w:rsidR="0029216B" w:rsidRDefault="0029216B" w:rsidP="00A32617">
            <w:pPr>
              <w:pStyle w:val="TableSideHeading"/>
              <w:keepLines w:val="0"/>
            </w:pPr>
          </w:p>
        </w:tc>
        <w:tc>
          <w:tcPr>
            <w:tcW w:w="624" w:type="dxa"/>
          </w:tcPr>
          <w:p w14:paraId="727A9B23" w14:textId="77777777" w:rsidR="0029216B" w:rsidRDefault="0029216B" w:rsidP="00A32617">
            <w:pPr>
              <w:pStyle w:val="TableText"/>
              <w:keepLines w:val="0"/>
            </w:pPr>
          </w:p>
        </w:tc>
        <w:tc>
          <w:tcPr>
            <w:tcW w:w="7143" w:type="dxa"/>
            <w:gridSpan w:val="2"/>
          </w:tcPr>
          <w:p w14:paraId="649E8992" w14:textId="77777777" w:rsidR="0029216B" w:rsidRDefault="0029216B" w:rsidP="00A32617">
            <w:pPr>
              <w:pStyle w:val="TableBlock"/>
              <w:rPr>
                <w:rtl/>
              </w:rPr>
            </w:pPr>
            <w:r>
              <w:rPr>
                <w:rFonts w:hint="cs"/>
                <w:rtl/>
              </w:rPr>
              <w:t>(2)</w:t>
            </w:r>
            <w:r>
              <w:rPr>
                <w:rtl/>
              </w:rPr>
              <w:tab/>
            </w:r>
            <w:r>
              <w:rPr>
                <w:rFonts w:hint="cs"/>
                <w:rtl/>
              </w:rPr>
              <w:t>אחרי פרט ו יבוא:</w:t>
            </w:r>
          </w:p>
        </w:tc>
      </w:tr>
      <w:tr w:rsidR="0029216B" w14:paraId="37678E25" w14:textId="77777777" w:rsidTr="00A32617">
        <w:trPr>
          <w:cantSplit/>
          <w:trHeight w:val="60"/>
        </w:trPr>
        <w:tc>
          <w:tcPr>
            <w:tcW w:w="1870" w:type="dxa"/>
          </w:tcPr>
          <w:p w14:paraId="627C5B99" w14:textId="77777777" w:rsidR="0029216B" w:rsidRDefault="0029216B" w:rsidP="00A32617">
            <w:pPr>
              <w:pStyle w:val="TableSideHeading"/>
            </w:pPr>
          </w:p>
        </w:tc>
        <w:tc>
          <w:tcPr>
            <w:tcW w:w="624" w:type="dxa"/>
          </w:tcPr>
          <w:p w14:paraId="57D2D752" w14:textId="77777777" w:rsidR="0029216B" w:rsidRDefault="0029216B" w:rsidP="00A32617">
            <w:pPr>
              <w:pStyle w:val="TableText"/>
            </w:pPr>
          </w:p>
        </w:tc>
        <w:tc>
          <w:tcPr>
            <w:tcW w:w="624" w:type="dxa"/>
          </w:tcPr>
          <w:p w14:paraId="4E9B3D5B" w14:textId="77777777" w:rsidR="0029216B" w:rsidRDefault="0029216B" w:rsidP="00A32617">
            <w:pPr>
              <w:pStyle w:val="TableText"/>
            </w:pPr>
          </w:p>
        </w:tc>
        <w:tc>
          <w:tcPr>
            <w:tcW w:w="6519" w:type="dxa"/>
          </w:tcPr>
          <w:p w14:paraId="348D9A5C" w14:textId="77777777" w:rsidR="0029216B" w:rsidRDefault="0029216B" w:rsidP="00A32617">
            <w:pPr>
              <w:pStyle w:val="TableBlock"/>
            </w:pPr>
            <w:r>
              <w:rPr>
                <w:rFonts w:hint="cs"/>
                <w:rtl/>
              </w:rPr>
              <w:t>"</w:t>
            </w:r>
            <w:r w:rsidRPr="000F70FF">
              <w:rPr>
                <w:rtl/>
              </w:rPr>
              <w:t>ז.</w:t>
            </w:r>
            <w:r w:rsidRPr="000F70FF">
              <w:rPr>
                <w:rtl/>
              </w:rPr>
              <w:tab/>
              <w:t>הוראות שנקבעו בהסכם הבוררות בדבר הגבלת סמכות הבורר להאריך מועדים יחולו גם על הבורר בערעור, אלא אם כן הסכימו בעלי הדין בערעור אחרת."</w:t>
            </w:r>
          </w:p>
        </w:tc>
      </w:tr>
    </w:tbl>
    <w:p w14:paraId="1AC4E94D" w14:textId="77777777" w:rsidR="0029216B" w:rsidRPr="00BC3AD4" w:rsidRDefault="0029216B" w:rsidP="0029216B">
      <w:pPr>
        <w:rPr>
          <w:rtl/>
        </w:rPr>
      </w:pPr>
    </w:p>
    <w:p w14:paraId="370485B5" w14:textId="77777777" w:rsidR="00E858EA" w:rsidRDefault="00E858EA" w:rsidP="0029216B">
      <w:pPr>
        <w:pStyle w:val="HeadDivreiHesber"/>
        <w:rPr>
          <w:rtl/>
        </w:rPr>
      </w:pPr>
    </w:p>
    <w:p w14:paraId="320888F9" w14:textId="77777777" w:rsidR="00E858EA" w:rsidRDefault="00E858EA" w:rsidP="0029216B">
      <w:pPr>
        <w:pStyle w:val="HeadDivreiHesber"/>
        <w:rPr>
          <w:rtl/>
        </w:rPr>
      </w:pPr>
    </w:p>
    <w:p w14:paraId="0F36E9DF" w14:textId="77777777" w:rsidR="0029216B" w:rsidRDefault="0029216B" w:rsidP="0029216B">
      <w:pPr>
        <w:pStyle w:val="HeadDivreiHesber"/>
        <w:rPr>
          <w:rtl/>
        </w:rPr>
      </w:pPr>
      <w:r>
        <w:rPr>
          <w:rFonts w:hint="cs"/>
          <w:rtl/>
        </w:rPr>
        <w:lastRenderedPageBreak/>
        <w:t>דברי הסבר</w:t>
      </w:r>
    </w:p>
    <w:p w14:paraId="48B6BAA5" w14:textId="77777777" w:rsidR="0029216B" w:rsidRPr="00B12252" w:rsidRDefault="0029216B" w:rsidP="0029216B">
      <w:pPr>
        <w:pStyle w:val="Hesber"/>
        <w:rPr>
          <w:rtl/>
        </w:rPr>
      </w:pPr>
      <w:r w:rsidRPr="00B12252">
        <w:rPr>
          <w:rFonts w:hint="cs"/>
          <w:rtl/>
        </w:rPr>
        <w:t xml:space="preserve">סעיף 21א לחוק הבוררות, </w:t>
      </w:r>
      <w:proofErr w:type="spellStart"/>
      <w:r w:rsidRPr="00B12252">
        <w:rPr>
          <w:rFonts w:hint="cs"/>
          <w:rtl/>
        </w:rPr>
        <w:t>התשכ"ח</w:t>
      </w:r>
      <w:proofErr w:type="spellEnd"/>
      <w:r>
        <w:rPr>
          <w:rtl/>
        </w:rPr>
        <w:t>–</w:t>
      </w:r>
      <w:r>
        <w:rPr>
          <w:rFonts w:hint="cs"/>
          <w:rtl/>
        </w:rPr>
        <w:t>1968,</w:t>
      </w:r>
      <w:r w:rsidRPr="00B12252">
        <w:rPr>
          <w:rFonts w:hint="cs"/>
          <w:rtl/>
        </w:rPr>
        <w:t xml:space="preserve"> שהתווסף לחוק בתיקון מס' 2 משנת </w:t>
      </w:r>
      <w:proofErr w:type="spellStart"/>
      <w:r w:rsidRPr="00B12252">
        <w:rPr>
          <w:rFonts w:hint="cs"/>
          <w:rtl/>
        </w:rPr>
        <w:t>התשס"ט</w:t>
      </w:r>
      <w:proofErr w:type="spellEnd"/>
      <w:r>
        <w:rPr>
          <w:rtl/>
        </w:rPr>
        <w:t>–</w:t>
      </w:r>
      <w:r>
        <w:rPr>
          <w:rFonts w:hint="cs"/>
          <w:rtl/>
        </w:rPr>
        <w:t>2008</w:t>
      </w:r>
      <w:r w:rsidRPr="00B12252">
        <w:rPr>
          <w:rFonts w:hint="cs"/>
          <w:rtl/>
        </w:rPr>
        <w:t>, מסדיר את האפשרות של צדדים להסכם בוררות לקבוע כי פסק הבוררות יהיה ניתן לערעור לפני בורר. הסעיף קובע כי במקרה כזה יחולו הוראות התוספת השני</w:t>
      </w:r>
      <w:r>
        <w:rPr>
          <w:rFonts w:hint="cs"/>
          <w:rtl/>
        </w:rPr>
        <w:t>י</w:t>
      </w:r>
      <w:r w:rsidRPr="00B12252">
        <w:rPr>
          <w:rFonts w:hint="cs"/>
          <w:rtl/>
        </w:rPr>
        <w:t>ה, שבה נקבעו הסדרים בדבר הגשת הערעור, ניהול הבוררות ופסק הבוררות. ואולם, בסעיף האמור ובתוספת השנ</w:t>
      </w:r>
      <w:r>
        <w:rPr>
          <w:rFonts w:hint="cs"/>
          <w:rtl/>
        </w:rPr>
        <w:t>י</w:t>
      </w:r>
      <w:r w:rsidRPr="00B12252">
        <w:rPr>
          <w:rFonts w:hint="cs"/>
          <w:rtl/>
        </w:rPr>
        <w:t>יה ישנם כמה פגמים וחסרים המקשים על יישומו של ההסדר האמור, ומוצע לתקנם, כלהלן:</w:t>
      </w:r>
    </w:p>
    <w:p w14:paraId="25233358" w14:textId="77777777" w:rsidR="0029216B" w:rsidRPr="00B12252" w:rsidRDefault="0029216B" w:rsidP="0029216B">
      <w:pPr>
        <w:pStyle w:val="Hesber"/>
        <w:rPr>
          <w:rtl/>
        </w:rPr>
      </w:pPr>
      <w:r w:rsidRPr="00B12252">
        <w:rPr>
          <w:rFonts w:hint="cs"/>
          <w:b/>
          <w:bCs/>
          <w:rtl/>
        </w:rPr>
        <w:t>לסעיף 1:</w:t>
      </w:r>
      <w:r w:rsidRPr="00B12252">
        <w:rPr>
          <w:rFonts w:hint="cs"/>
          <w:rtl/>
        </w:rPr>
        <w:t xml:space="preserve"> החוק אינו קובע בתוך כמה זמן יתמנה הבורר בערעור. פרט ב בתוספת השנ</w:t>
      </w:r>
      <w:r>
        <w:rPr>
          <w:rFonts w:hint="cs"/>
          <w:rtl/>
        </w:rPr>
        <w:t>י</w:t>
      </w:r>
      <w:r w:rsidRPr="00B12252">
        <w:rPr>
          <w:rFonts w:hint="cs"/>
          <w:rtl/>
        </w:rPr>
        <w:t>יה קובע כי ערעור על פסק בוררות יוגש בתוך שלושים ימים מיום שפסק הבוררות הומצא לבעלי הדין או מיום שהתמנה הבורר בערעור, לפי המאוחר. יש בהוראה זו משום פתח להתארכות ההליכים, שכן מי שהפסיד ב</w:t>
      </w:r>
      <w:r>
        <w:rPr>
          <w:rFonts w:hint="cs"/>
          <w:rtl/>
        </w:rPr>
        <w:t xml:space="preserve">הליך, </w:t>
      </w:r>
      <w:r w:rsidRPr="00B12252">
        <w:rPr>
          <w:rFonts w:hint="cs"/>
          <w:rtl/>
        </w:rPr>
        <w:t>יוכל למנוע מינוי בורר בערעור ובינתיים פסק הבורר הראשון אינו ניתן לאישור על ידי בית המשפט, וכתוצאה מכך ההליך עשוי להתמשך מאד, לרבות בדיונים משפטיים. לפיכך מוצע לקבוע כי אם לא התמנה בורר בערעור בתוך 60 ימים מיום שפסק הבוררות הניתן לערעור הומצא לצדדים, לא ניתן לערער על פסק הבוררות לפני בורר, אלא אם כן קבעו הצדדים אחרת</w:t>
      </w:r>
      <w:r>
        <w:rPr>
          <w:rFonts w:hint="cs"/>
          <w:rtl/>
        </w:rPr>
        <w:t xml:space="preserve"> או אם אחד מבעלי הדין הגיש בקשה לבית המשפט למינוי בורר.</w:t>
      </w:r>
    </w:p>
    <w:p w14:paraId="527583EB" w14:textId="77777777" w:rsidR="0029216B" w:rsidRPr="00B12252" w:rsidRDefault="0029216B" w:rsidP="0029216B">
      <w:pPr>
        <w:pStyle w:val="Hesber"/>
        <w:rPr>
          <w:rtl/>
        </w:rPr>
      </w:pPr>
      <w:r w:rsidRPr="00B12252">
        <w:rPr>
          <w:rFonts w:hint="cs"/>
          <w:b/>
          <w:bCs/>
          <w:rtl/>
        </w:rPr>
        <w:t>לסעיף 2(1):</w:t>
      </w:r>
      <w:r w:rsidRPr="00B12252">
        <w:rPr>
          <w:rFonts w:hint="cs"/>
          <w:rtl/>
        </w:rPr>
        <w:t xml:space="preserve"> התוספת השנ</w:t>
      </w:r>
      <w:r>
        <w:rPr>
          <w:rFonts w:hint="cs"/>
          <w:rtl/>
        </w:rPr>
        <w:t>י</w:t>
      </w:r>
      <w:r w:rsidRPr="00B12252">
        <w:rPr>
          <w:rFonts w:hint="cs"/>
          <w:rtl/>
        </w:rPr>
        <w:t>יה אינה מגבילה את משך הזמן לקיום הדיון בערעור, וכל שנקבע בפרט ה הוא שעל הבורר לתת את פסק הבוררות בערעור בתוך חודשיים ממועד הסיום של הליך הערעור. לפיכך מוצע לקבוע לעניין משך הדיון בערעור הוראות דומות לאלה הקבועות בפרט טו לתוספת הראשונה לעניין הליך בוררות רגיל, כלומר פסק הבוררות יינתן בתוך שלושה ח</w:t>
      </w:r>
      <w:r>
        <w:rPr>
          <w:rFonts w:hint="cs"/>
          <w:rtl/>
        </w:rPr>
        <w:t>ו</w:t>
      </w:r>
      <w:r w:rsidRPr="00B12252">
        <w:rPr>
          <w:rFonts w:hint="cs"/>
          <w:rtl/>
        </w:rPr>
        <w:t>דשים מהמועד האחרון להגשת תגובת המערער לתשובה שהגישו בעלי הדין האחרים, והבורר בערעור יהיה רשאי להאריך את התקופה למתן פסק הבוררות עד לשלושה ח</w:t>
      </w:r>
      <w:r>
        <w:rPr>
          <w:rFonts w:hint="cs"/>
          <w:rtl/>
        </w:rPr>
        <w:t>ו</w:t>
      </w:r>
      <w:r w:rsidRPr="00B12252">
        <w:rPr>
          <w:rFonts w:hint="cs"/>
          <w:rtl/>
        </w:rPr>
        <w:t>דשים נוספים.</w:t>
      </w:r>
    </w:p>
    <w:p w14:paraId="0152BD1F" w14:textId="70075824" w:rsidR="0029216B" w:rsidRPr="00B12252" w:rsidRDefault="0029216B" w:rsidP="003F7E79">
      <w:pPr>
        <w:pStyle w:val="Hesber"/>
        <w:rPr>
          <w:rtl/>
        </w:rPr>
      </w:pPr>
      <w:r w:rsidRPr="00B12252">
        <w:rPr>
          <w:rFonts w:hint="cs"/>
          <w:b/>
          <w:bCs/>
          <w:rtl/>
        </w:rPr>
        <w:t xml:space="preserve">לסעיף </w:t>
      </w:r>
      <w:r w:rsidR="003F7E79">
        <w:rPr>
          <w:rFonts w:hint="cs"/>
          <w:b/>
          <w:bCs/>
          <w:rtl/>
        </w:rPr>
        <w:t>2</w:t>
      </w:r>
      <w:r w:rsidRPr="00B12252">
        <w:rPr>
          <w:rFonts w:hint="cs"/>
          <w:b/>
          <w:bCs/>
          <w:rtl/>
        </w:rPr>
        <w:t>(2):</w:t>
      </w:r>
      <w:r w:rsidRPr="00B12252">
        <w:rPr>
          <w:rFonts w:hint="cs"/>
          <w:rtl/>
        </w:rPr>
        <w:t xml:space="preserve"> התוספת השנ</w:t>
      </w:r>
      <w:r>
        <w:rPr>
          <w:rFonts w:hint="cs"/>
          <w:rtl/>
        </w:rPr>
        <w:t>י</w:t>
      </w:r>
      <w:r w:rsidRPr="00B12252">
        <w:rPr>
          <w:rFonts w:hint="cs"/>
          <w:rtl/>
        </w:rPr>
        <w:t>יה אינה כוללת כל התייחסות לסוגיית סמכות הבורר בערעור להאריך מועדים על דעת עצמו. סעיף 21א(א)(2) לחוק הבוררות קובע כי הוראות התוספת השנ</w:t>
      </w:r>
      <w:r>
        <w:rPr>
          <w:rFonts w:hint="cs"/>
          <w:rtl/>
        </w:rPr>
        <w:t>י</w:t>
      </w:r>
      <w:r w:rsidRPr="00B12252">
        <w:rPr>
          <w:rFonts w:hint="cs"/>
          <w:rtl/>
        </w:rPr>
        <w:t>יה יחולו בערעור, נוסף על הוראות התוספת הראשונה ככל שאינן סותרות את הוראות התוספת השני</w:t>
      </w:r>
      <w:r>
        <w:rPr>
          <w:rFonts w:hint="cs"/>
          <w:rtl/>
        </w:rPr>
        <w:t>י</w:t>
      </w:r>
      <w:r w:rsidRPr="00B12252">
        <w:rPr>
          <w:rFonts w:hint="cs"/>
          <w:rtl/>
        </w:rPr>
        <w:t>ה, והכול אלא אם כן קבעו הצדדים אחרת. ואולם</w:t>
      </w:r>
      <w:r>
        <w:rPr>
          <w:rFonts w:hint="cs"/>
          <w:rtl/>
        </w:rPr>
        <w:t>,</w:t>
      </w:r>
      <w:r w:rsidRPr="00B12252">
        <w:rPr>
          <w:rFonts w:hint="cs"/>
          <w:rtl/>
        </w:rPr>
        <w:t xml:space="preserve"> המציאות מלמדת כי ישנם מקרים שבהם על אף שהצדדים קבעו בהסכם הבוררות הראשון שאין להאריך מועדים, ישנם בוררים בערעור שקובעים כי הסכמה זו אינה חלה על הבוררות בערעור, והם חופשיים להאריך מועדים, עניין שיכול להביא להתארכות הליך הערעור ללא קץ. לפיכך מוצע להבהיר כי אם בהסכם הבוררות הראשון קבעו הצדדים הוראות בדבר הגבלת סמכות הבורר להאריך מועדים, יחייבו הוראות אלה גם את הבורר בערעור, אלא אם כן הסכימו הצדדים אחרת.</w:t>
      </w:r>
    </w:p>
    <w:p w14:paraId="5E2DED35" w14:textId="77777777" w:rsidR="0029216B" w:rsidRDefault="0029216B" w:rsidP="0029216B">
      <w:pPr>
        <w:pStyle w:val="Hesber"/>
        <w:rPr>
          <w:rtl/>
        </w:rPr>
      </w:pPr>
      <w:r w:rsidRPr="00B12252">
        <w:rPr>
          <w:rFonts w:hint="cs"/>
          <w:rtl/>
        </w:rPr>
        <w:t>התיקונים המוצעים יביאו לכך שהליך הערעור על פסק בורר יהיה הליך קצר ויעיל, ויגשים את המטרה שלשמה נחקק מלכתחילה.</w:t>
      </w:r>
    </w:p>
    <w:p w14:paraId="22F1E4C5" w14:textId="77777777" w:rsidR="0029216B" w:rsidRPr="00B12252" w:rsidRDefault="0029216B" w:rsidP="0029216B">
      <w:pPr>
        <w:pStyle w:val="Hesber"/>
        <w:rPr>
          <w:rtl/>
        </w:rPr>
      </w:pPr>
    </w:p>
    <w:p w14:paraId="025D29BE" w14:textId="77777777" w:rsidR="00E858EA" w:rsidRPr="0022704F" w:rsidRDefault="00E858EA" w:rsidP="00E858EA">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4B171F6F" w14:textId="77777777" w:rsidR="00E858EA" w:rsidRPr="0022704F" w:rsidRDefault="00E858EA" w:rsidP="00E858EA">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511DD51E" w14:textId="77777777" w:rsidR="00E858EA" w:rsidRPr="0022704F" w:rsidRDefault="00E858EA" w:rsidP="00E858EA">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0085D10B" w14:textId="77777777" w:rsidR="00E858EA" w:rsidRPr="00935520" w:rsidRDefault="00E858EA" w:rsidP="00E858EA">
      <w:pPr>
        <w:spacing w:before="0" w:line="360" w:lineRule="auto"/>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 xml:space="preserve">י"ג  בחשוון </w:t>
      </w:r>
      <w:proofErr w:type="spellStart"/>
      <w:r>
        <w:rPr>
          <w:rFonts w:ascii="Arial" w:eastAsia="Arial Unicode MS" w:hAnsi="Arial" w:cs="David" w:hint="cs"/>
          <w:snapToGrid w:val="0"/>
          <w:spacing w:val="0"/>
          <w:sz w:val="20"/>
          <w:szCs w:val="26"/>
          <w:rtl/>
        </w:rPr>
        <w:t>התשע"ו</w:t>
      </w:r>
      <w:proofErr w:type="spellEnd"/>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26</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10</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14:paraId="28B1511D" w14:textId="77777777" w:rsidR="00E858EA" w:rsidRPr="00E635D3" w:rsidRDefault="00E858EA" w:rsidP="00E858EA">
      <w:pPr>
        <w:spacing w:before="0" w:line="360" w:lineRule="auto"/>
        <w:ind w:left="340" w:firstLine="0"/>
        <w:rPr>
          <w:rFonts w:ascii="Arial" w:eastAsia="Arial Unicode MS" w:hAnsi="Arial" w:cs="David"/>
          <w:snapToGrid w:val="0"/>
          <w:spacing w:val="0"/>
          <w:sz w:val="20"/>
          <w:szCs w:val="26"/>
          <w:rtl/>
        </w:rPr>
      </w:pPr>
    </w:p>
    <w:p w14:paraId="7F6961CB" w14:textId="77777777" w:rsidR="00E13C27" w:rsidRPr="0029216B" w:rsidRDefault="00E13C27" w:rsidP="0029216B">
      <w:pPr>
        <w:rPr>
          <w:rtl/>
        </w:rPr>
      </w:pPr>
    </w:p>
    <w:sectPr w:rsidR="00E13C27" w:rsidRPr="0029216B"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F84989">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24A58B2B" w14:textId="77777777" w:rsidR="0029216B" w:rsidRDefault="0029216B" w:rsidP="0029216B">
      <w:pPr>
        <w:pStyle w:val="a4"/>
        <w:rPr>
          <w:rtl/>
        </w:rPr>
      </w:pPr>
      <w:r>
        <w:rPr>
          <w:rStyle w:val="a5"/>
        </w:rPr>
        <w:footnoteRef/>
      </w:r>
      <w:r>
        <w:rPr>
          <w:rtl/>
        </w:rPr>
        <w:t xml:space="preserve"> </w:t>
      </w:r>
      <w:r>
        <w:rPr>
          <w:rFonts w:hint="cs"/>
          <w:rtl/>
        </w:rPr>
        <w:t xml:space="preserve">ס"ח </w:t>
      </w:r>
      <w:proofErr w:type="spellStart"/>
      <w:r>
        <w:rPr>
          <w:rFonts w:hint="cs"/>
          <w:rtl/>
        </w:rPr>
        <w:t>התשכ"ח</w:t>
      </w:r>
      <w:proofErr w:type="spellEnd"/>
      <w:r>
        <w:rPr>
          <w:rFonts w:hint="cs"/>
          <w:rtl/>
        </w:rPr>
        <w:t>, עמ' 184.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16B"/>
    <w:rsid w:val="00292712"/>
    <w:rsid w:val="002A487D"/>
    <w:rsid w:val="002C2E29"/>
    <w:rsid w:val="002C3041"/>
    <w:rsid w:val="002D1EE3"/>
    <w:rsid w:val="002F1D80"/>
    <w:rsid w:val="003232A2"/>
    <w:rsid w:val="00325C14"/>
    <w:rsid w:val="0036422C"/>
    <w:rsid w:val="003710F6"/>
    <w:rsid w:val="00386E88"/>
    <w:rsid w:val="00396585"/>
    <w:rsid w:val="003D6E38"/>
    <w:rsid w:val="003D74A0"/>
    <w:rsid w:val="003F7E79"/>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A789C"/>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205"/>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858EA"/>
    <w:rsid w:val="00EA01E6"/>
    <w:rsid w:val="00EA3DE8"/>
    <w:rsid w:val="00EA758F"/>
    <w:rsid w:val="00ED4A6F"/>
    <w:rsid w:val="00EF3A3A"/>
    <w:rsid w:val="00F628D6"/>
    <w:rsid w:val="00F67051"/>
    <w:rsid w:val="00F84989"/>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F15D7C78-3E37-46BC-AC41-7E9E2FABE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789C"/>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5A789C"/>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5A789C"/>
    <w:rPr>
      <w:sz w:val="36"/>
      <w:szCs w:val="52"/>
    </w:rPr>
  </w:style>
  <w:style w:type="paragraph" w:customStyle="1" w:styleId="Cover3-Haknesset">
    <w:name w:val="Cover 3-Haknesset"/>
    <w:basedOn w:val="Cover1-Reshumot"/>
    <w:rsid w:val="005A789C"/>
    <w:rPr>
      <w:b/>
      <w:bCs/>
      <w:spacing w:val="60"/>
    </w:rPr>
  </w:style>
  <w:style w:type="paragraph" w:customStyle="1" w:styleId="Cover4-Date">
    <w:name w:val="Cover 4-Date"/>
    <w:basedOn w:val="a"/>
    <w:rsid w:val="005A789C"/>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5A78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5A78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5A789C"/>
    <w:pPr>
      <w:spacing w:before="120" w:after="120"/>
    </w:pPr>
    <w:rPr>
      <w:color w:val="FF0000"/>
      <w:w w:val="80"/>
    </w:rPr>
  </w:style>
  <w:style w:type="paragraph" w:styleId="a3">
    <w:name w:val="endnote text"/>
    <w:basedOn w:val="a"/>
    <w:semiHidden/>
    <w:rsid w:val="005A789C"/>
    <w:pPr>
      <w:ind w:left="227" w:hanging="227"/>
    </w:pPr>
    <w:rPr>
      <w:sz w:val="14"/>
      <w:szCs w:val="22"/>
    </w:rPr>
  </w:style>
  <w:style w:type="paragraph" w:customStyle="1" w:styleId="TableText">
    <w:name w:val="Table Text"/>
    <w:basedOn w:val="a"/>
    <w:rsid w:val="005A78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5A789C"/>
  </w:style>
  <w:style w:type="paragraph" w:customStyle="1" w:styleId="TableBlock">
    <w:name w:val="Table Block"/>
    <w:basedOn w:val="TableText"/>
    <w:rsid w:val="005A789C"/>
    <w:pPr>
      <w:ind w:right="0"/>
      <w:jc w:val="both"/>
    </w:pPr>
  </w:style>
  <w:style w:type="paragraph" w:customStyle="1" w:styleId="TableHead">
    <w:name w:val="Table Head"/>
    <w:basedOn w:val="TableText"/>
    <w:rsid w:val="005A789C"/>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5A789C"/>
  </w:style>
  <w:style w:type="paragraph" w:customStyle="1" w:styleId="Hesber">
    <w:name w:val="Hesber"/>
    <w:basedOn w:val="a"/>
    <w:rsid w:val="005A789C"/>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5A789C"/>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5A789C"/>
    <w:rPr>
      <w:vertAlign w:val="superscript"/>
    </w:rPr>
  </w:style>
  <w:style w:type="paragraph" w:customStyle="1" w:styleId="HesberHeading">
    <w:name w:val="Hesber Heading"/>
    <w:basedOn w:val="Hesber"/>
    <w:rsid w:val="005A789C"/>
    <w:pPr>
      <w:tabs>
        <w:tab w:val="left" w:pos="624"/>
        <w:tab w:val="left" w:pos="1247"/>
      </w:tabs>
      <w:ind w:firstLine="0"/>
    </w:pPr>
    <w:rPr>
      <w:b/>
      <w:bCs/>
    </w:rPr>
  </w:style>
  <w:style w:type="paragraph" w:customStyle="1" w:styleId="HesberWriters">
    <w:name w:val="Hesber Writers"/>
    <w:basedOn w:val="Hesber"/>
    <w:rsid w:val="005A789C"/>
    <w:pPr>
      <w:spacing w:before="120" w:after="6000"/>
      <w:ind w:left="1418" w:firstLine="0"/>
      <w:jc w:val="right"/>
    </w:pPr>
    <w:rPr>
      <w:b/>
      <w:bCs/>
    </w:rPr>
  </w:style>
  <w:style w:type="paragraph" w:customStyle="1" w:styleId="Hesber1st">
    <w:name w:val="Hesber 1st"/>
    <w:basedOn w:val="Hesber"/>
    <w:rsid w:val="005A789C"/>
    <w:pPr>
      <w:tabs>
        <w:tab w:val="left" w:pos="680"/>
        <w:tab w:val="left" w:pos="1020"/>
      </w:tabs>
      <w:ind w:firstLine="0"/>
    </w:pPr>
  </w:style>
  <w:style w:type="character" w:styleId="a6">
    <w:name w:val="endnote reference"/>
    <w:basedOn w:val="a0"/>
    <w:semiHidden/>
    <w:rsid w:val="005A789C"/>
    <w:rPr>
      <w:vertAlign w:val="superscript"/>
    </w:rPr>
  </w:style>
  <w:style w:type="paragraph" w:customStyle="1" w:styleId="TableBlockOutdent">
    <w:name w:val="Table BlockOutdent"/>
    <w:basedOn w:val="TableBlock"/>
    <w:rsid w:val="005A789C"/>
    <w:pPr>
      <w:ind w:left="624" w:hanging="624"/>
    </w:pPr>
  </w:style>
  <w:style w:type="paragraph" w:styleId="a7">
    <w:name w:val="header"/>
    <w:basedOn w:val="a"/>
    <w:rsid w:val="005A789C"/>
    <w:pPr>
      <w:tabs>
        <w:tab w:val="center" w:pos="4153"/>
        <w:tab w:val="right" w:pos="8306"/>
      </w:tabs>
    </w:pPr>
  </w:style>
  <w:style w:type="paragraph" w:styleId="a8">
    <w:name w:val="footer"/>
    <w:basedOn w:val="a"/>
    <w:rsid w:val="005A789C"/>
    <w:pPr>
      <w:tabs>
        <w:tab w:val="center" w:pos="4153"/>
        <w:tab w:val="right" w:pos="8306"/>
      </w:tabs>
    </w:pPr>
  </w:style>
  <w:style w:type="paragraph" w:customStyle="1" w:styleId="HeadDivreiHesber">
    <w:name w:val="Head DivreiHesber"/>
    <w:basedOn w:val="a"/>
    <w:rsid w:val="005A789C"/>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5A789C"/>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5A789C"/>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9F56996A-020D-4303-8A42-EE5B04EE4767}"/>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www.w3.org/XML/1998/namespace"/>
    <ds:schemaRef ds:uri="http://purl.org/dc/terms/"/>
  </ds:schemaRefs>
</ds:datastoreItem>
</file>

<file path=customXml/itemProps4.xml><?xml version="1.0" encoding="utf-8"?>
<ds:datastoreItem xmlns:ds="http://schemas.openxmlformats.org/officeDocument/2006/customXml" ds:itemID="{0B7F8DC1-5459-4CCA-A791-A0EC95004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584</Words>
  <Characters>2925</Characters>
  <Application>Microsoft Office Word</Application>
  <DocSecurity>4</DocSecurity>
  <Lines>24</Lines>
  <Paragraphs>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3502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חופית עלפי</cp:lastModifiedBy>
  <cp:revision>2</cp:revision>
  <cp:lastPrinted>2015-10-21T07:39:00Z</cp:lastPrinted>
  <dcterms:created xsi:type="dcterms:W3CDTF">2018-01-23T11:25:00Z</dcterms:created>
  <dcterms:modified xsi:type="dcterms:W3CDTF">2018-01-23T11:25:00Z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2064366</vt:r8>
  </property>
</Properties>
</file>