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1F5D5" w14:textId="77777777" w:rsidR="002C7BA9" w:rsidRPr="0000131B" w:rsidRDefault="002C7BA9" w:rsidP="002C7BA9">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578901</w:t>
      </w:r>
      <w:bookmarkEnd w:id="1"/>
    </w:p>
    <w:p w14:paraId="1560BBA8" w14:textId="77777777" w:rsidR="002C7BA9" w:rsidRPr="00DB7060" w:rsidRDefault="002C7BA9" w:rsidP="002C7BA9">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3B0BD640" w14:textId="77777777" w:rsidR="002C7BA9" w:rsidRPr="00F67051" w:rsidRDefault="002C7BA9" w:rsidP="002C7BA9">
      <w:pPr>
        <w:rPr>
          <w:rFonts w:cs="David"/>
          <w:b/>
          <w:bCs/>
          <w:sz w:val="26"/>
          <w:szCs w:val="26"/>
          <w:rtl/>
        </w:rPr>
      </w:pPr>
    </w:p>
    <w:p w14:paraId="0B0CAE1B" w14:textId="1892E92F" w:rsidR="002C7BA9" w:rsidRPr="00CF1AA2" w:rsidRDefault="002C7BA9" w:rsidP="000510A1">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איתן כבל</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עליזה לביא</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00800B64" w14:textId="77777777" w:rsidR="002C7BA9" w:rsidRPr="00904591" w:rsidRDefault="002C7BA9" w:rsidP="002C7BA9">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B41BD0A" w14:textId="77777777" w:rsidR="002C7BA9" w:rsidRPr="00E06736" w:rsidRDefault="002C7BA9" w:rsidP="002C7BA9">
      <w:pPr>
        <w:pStyle w:val="David"/>
        <w:spacing w:before="0" w:line="240" w:lineRule="auto"/>
        <w:ind w:left="3544"/>
        <w:rPr>
          <w:rtl/>
        </w:rPr>
      </w:pPr>
      <w:r>
        <w:t xml:space="preserve">                                             </w:t>
      </w:r>
      <w:bookmarkStart w:id="7" w:name="Private_Number"/>
      <w:r>
        <w:rPr>
          <w:rFonts w:hint="cs"/>
          <w:rtl/>
        </w:rPr>
        <w:t>פ/3363/20</w:t>
      </w:r>
      <w:bookmarkEnd w:id="7"/>
    </w:p>
    <w:p w14:paraId="33FE0DF0" w14:textId="77777777" w:rsidR="002C7BA9" w:rsidRDefault="002C7BA9" w:rsidP="002C7BA9">
      <w:pPr>
        <w:spacing w:before="0" w:line="360" w:lineRule="auto"/>
        <w:ind w:left="2880" w:firstLine="720"/>
        <w:rPr>
          <w:rFonts w:cs="David"/>
          <w:sz w:val="26"/>
          <w:szCs w:val="26"/>
          <w:rtl/>
        </w:rPr>
      </w:pPr>
    </w:p>
    <w:p w14:paraId="3469854F" w14:textId="6B2B5C3F" w:rsidR="002C7BA9" w:rsidRPr="00F67051" w:rsidRDefault="002C7BA9" w:rsidP="000510A1">
      <w:pPr>
        <w:pStyle w:val="HeadHatzaotHok"/>
        <w:rPr>
          <w:rtl/>
        </w:rPr>
      </w:pPr>
      <w:bookmarkStart w:id="8" w:name="LGS_Subject"/>
      <w:r>
        <w:rPr>
          <w:rFonts w:hint="cs"/>
          <w:rtl/>
        </w:rPr>
        <w:t xml:space="preserve">הצעת חוק חובת תשלום בשוברים, </w:t>
      </w:r>
      <w:proofErr w:type="spellStart"/>
      <w:r>
        <w:rPr>
          <w:rFonts w:hint="cs"/>
          <w:rtl/>
        </w:rPr>
        <w:t>התשע"ז</w:t>
      </w:r>
      <w:proofErr w:type="spellEnd"/>
      <w:r w:rsidR="000510A1">
        <w:rPr>
          <w:rFonts w:hint="eastAsia"/>
          <w:rtl/>
        </w:rPr>
        <w:t>–</w:t>
      </w:r>
      <w:r>
        <w:rPr>
          <w:rFonts w:hint="cs"/>
          <w:rtl/>
        </w:rPr>
        <w:t>2016</w:t>
      </w:r>
      <w:bookmarkEnd w:id="8"/>
    </w:p>
    <w:p w14:paraId="4F2BE85D" w14:textId="77777777" w:rsidR="002C7BA9" w:rsidRDefault="002C7BA9" w:rsidP="002C7BA9">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2C7BA9" w14:paraId="2B056A62" w14:textId="77777777" w:rsidTr="002C7BA9">
        <w:trPr>
          <w:cantSplit/>
        </w:trPr>
        <w:tc>
          <w:tcPr>
            <w:tcW w:w="1871" w:type="dxa"/>
          </w:tcPr>
          <w:p w14:paraId="627E0842" w14:textId="77777777" w:rsidR="002C7BA9" w:rsidRPr="00DA05E4" w:rsidRDefault="002C7BA9" w:rsidP="00F85675">
            <w:pPr>
              <w:pStyle w:val="TableSideHeading"/>
              <w:ind w:right="0"/>
              <w:rPr>
                <w:rtl/>
              </w:rPr>
            </w:pPr>
            <w:r w:rsidRPr="00DA05E4">
              <w:rPr>
                <w:rFonts w:hint="cs"/>
                <w:rtl/>
              </w:rPr>
              <w:t>הגדרות</w:t>
            </w:r>
          </w:p>
        </w:tc>
        <w:tc>
          <w:tcPr>
            <w:tcW w:w="624" w:type="dxa"/>
          </w:tcPr>
          <w:p w14:paraId="180FA8F7" w14:textId="77777777" w:rsidR="002C7BA9" w:rsidRPr="00DA05E4" w:rsidRDefault="002C7BA9" w:rsidP="00F85675">
            <w:pPr>
              <w:pStyle w:val="TableText"/>
              <w:ind w:right="0"/>
              <w:jc w:val="both"/>
              <w:rPr>
                <w:rtl/>
              </w:rPr>
            </w:pPr>
            <w:r w:rsidRPr="00DA05E4">
              <w:rPr>
                <w:rFonts w:hint="cs"/>
                <w:rtl/>
              </w:rPr>
              <w:t>1.</w:t>
            </w:r>
          </w:p>
        </w:tc>
        <w:tc>
          <w:tcPr>
            <w:tcW w:w="7143" w:type="dxa"/>
          </w:tcPr>
          <w:p w14:paraId="2BD1CF2B" w14:textId="6FDFD585" w:rsidR="002C7BA9" w:rsidRPr="00FB2181" w:rsidRDefault="000510A1" w:rsidP="002C7BA9">
            <w:pPr>
              <w:pStyle w:val="TableBlockOutdent"/>
              <w:rPr>
                <w:rtl/>
              </w:rPr>
            </w:pPr>
            <w:r>
              <w:rPr>
                <w:rFonts w:hint="cs"/>
                <w:rtl/>
              </w:rPr>
              <w:t xml:space="preserve">בחוק זה, </w:t>
            </w:r>
            <w:r w:rsidR="002C7BA9" w:rsidRPr="00DE649C">
              <w:rPr>
                <w:rtl/>
              </w:rPr>
              <w:t>"</w:t>
            </w:r>
            <w:r w:rsidR="002C7BA9" w:rsidRPr="00DE649C">
              <w:rPr>
                <w:rFonts w:hint="eastAsia"/>
                <w:rtl/>
              </w:rPr>
              <w:t>גוף</w:t>
            </w:r>
            <w:r w:rsidR="002C7BA9" w:rsidRPr="00DE649C">
              <w:rPr>
                <w:rtl/>
              </w:rPr>
              <w:t xml:space="preserve"> </w:t>
            </w:r>
            <w:r w:rsidR="002C7BA9" w:rsidRPr="00DE649C">
              <w:rPr>
                <w:rFonts w:hint="eastAsia"/>
                <w:rtl/>
              </w:rPr>
              <w:t>ציבורי</w:t>
            </w:r>
            <w:r w:rsidR="002C7BA9" w:rsidRPr="00FB2181">
              <w:rPr>
                <w:rFonts w:hint="cs"/>
                <w:rtl/>
              </w:rPr>
              <w:t xml:space="preserve">" – </w:t>
            </w:r>
            <w:r w:rsidR="002C7BA9" w:rsidRPr="00DE649C">
              <w:rPr>
                <w:rFonts w:hint="eastAsia"/>
                <w:rtl/>
              </w:rPr>
              <w:t>ממשלת</w:t>
            </w:r>
            <w:r w:rsidR="002C7BA9" w:rsidRPr="00DE649C">
              <w:rPr>
                <w:rtl/>
              </w:rPr>
              <w:t xml:space="preserve"> </w:t>
            </w:r>
            <w:r w:rsidR="002C7BA9" w:rsidRPr="00DE649C">
              <w:rPr>
                <w:rFonts w:hint="eastAsia"/>
                <w:rtl/>
              </w:rPr>
              <w:t>ישראל</w:t>
            </w:r>
            <w:r w:rsidR="002C7BA9" w:rsidRPr="00DE649C">
              <w:rPr>
                <w:rtl/>
              </w:rPr>
              <w:t xml:space="preserve">, </w:t>
            </w:r>
            <w:r w:rsidR="002C7BA9" w:rsidRPr="00DE649C">
              <w:rPr>
                <w:rFonts w:hint="eastAsia"/>
                <w:rtl/>
              </w:rPr>
              <w:t>רשות</w:t>
            </w:r>
            <w:r w:rsidR="002C7BA9" w:rsidRPr="00DE649C">
              <w:rPr>
                <w:rtl/>
              </w:rPr>
              <w:t xml:space="preserve"> </w:t>
            </w:r>
            <w:r w:rsidR="002C7BA9" w:rsidRPr="00DE649C">
              <w:rPr>
                <w:rFonts w:hint="eastAsia"/>
                <w:rtl/>
              </w:rPr>
              <w:t>מקומית</w:t>
            </w:r>
            <w:r w:rsidR="002C7BA9" w:rsidRPr="00DE649C">
              <w:rPr>
                <w:rtl/>
              </w:rPr>
              <w:t xml:space="preserve">, </w:t>
            </w:r>
            <w:r w:rsidR="002C7BA9" w:rsidRPr="00DE649C">
              <w:rPr>
                <w:rFonts w:hint="eastAsia"/>
                <w:rtl/>
              </w:rPr>
              <w:t>תאגיד</w:t>
            </w:r>
            <w:r w:rsidR="002C7BA9" w:rsidRPr="00DE649C">
              <w:rPr>
                <w:rtl/>
              </w:rPr>
              <w:t xml:space="preserve"> </w:t>
            </w:r>
            <w:r w:rsidR="002C7BA9" w:rsidRPr="00DE649C">
              <w:rPr>
                <w:rFonts w:hint="eastAsia"/>
                <w:rtl/>
              </w:rPr>
              <w:t>שהוקם</w:t>
            </w:r>
            <w:r w:rsidR="002C7BA9" w:rsidRPr="00DE649C">
              <w:rPr>
                <w:rtl/>
              </w:rPr>
              <w:t xml:space="preserve"> </w:t>
            </w:r>
            <w:r w:rsidR="002C7BA9" w:rsidRPr="00DE649C">
              <w:rPr>
                <w:rFonts w:hint="eastAsia"/>
                <w:rtl/>
              </w:rPr>
              <w:t>לפי</w:t>
            </w:r>
            <w:r w:rsidR="002C7BA9" w:rsidRPr="00DE649C">
              <w:rPr>
                <w:rtl/>
              </w:rPr>
              <w:t xml:space="preserve"> </w:t>
            </w:r>
            <w:r w:rsidR="002C7BA9" w:rsidRPr="00DE649C">
              <w:rPr>
                <w:rFonts w:hint="eastAsia"/>
                <w:rtl/>
              </w:rPr>
              <w:t>חוק</w:t>
            </w:r>
            <w:r w:rsidR="002C7BA9" w:rsidRPr="00DE649C">
              <w:rPr>
                <w:rtl/>
              </w:rPr>
              <w:t xml:space="preserve">, </w:t>
            </w:r>
            <w:r w:rsidR="002C7BA9" w:rsidRPr="00DE649C">
              <w:rPr>
                <w:rFonts w:hint="eastAsia"/>
                <w:rtl/>
              </w:rPr>
              <w:t>גוף</w:t>
            </w:r>
            <w:r w:rsidR="002C7BA9" w:rsidRPr="00DE649C">
              <w:rPr>
                <w:rtl/>
              </w:rPr>
              <w:t xml:space="preserve"> </w:t>
            </w:r>
            <w:r w:rsidR="002C7BA9" w:rsidRPr="00DE649C">
              <w:rPr>
                <w:rFonts w:hint="eastAsia"/>
                <w:rtl/>
              </w:rPr>
              <w:t>שנמצא</w:t>
            </w:r>
            <w:r w:rsidR="002C7BA9" w:rsidRPr="00DE649C">
              <w:rPr>
                <w:rtl/>
              </w:rPr>
              <w:t xml:space="preserve"> </w:t>
            </w:r>
            <w:r w:rsidR="002C7BA9" w:rsidRPr="00DE649C">
              <w:rPr>
                <w:rFonts w:hint="eastAsia"/>
                <w:rtl/>
              </w:rPr>
              <w:t>בבעלות</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בשליטה</w:t>
            </w:r>
            <w:r w:rsidR="002C7BA9" w:rsidRPr="00DE649C">
              <w:rPr>
                <w:rtl/>
              </w:rPr>
              <w:t xml:space="preserve"> </w:t>
            </w:r>
            <w:r w:rsidR="002C7BA9" w:rsidRPr="00DE649C">
              <w:rPr>
                <w:rFonts w:hint="eastAsia"/>
                <w:rtl/>
              </w:rPr>
              <w:t>ישירה</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עקיפה</w:t>
            </w:r>
            <w:r w:rsidR="002C7BA9" w:rsidRPr="00DE649C">
              <w:rPr>
                <w:rtl/>
              </w:rPr>
              <w:t xml:space="preserve"> </w:t>
            </w:r>
            <w:r w:rsidR="002C7BA9" w:rsidRPr="00DE649C">
              <w:rPr>
                <w:rFonts w:hint="eastAsia"/>
                <w:rtl/>
              </w:rPr>
              <w:t>של</w:t>
            </w:r>
            <w:r w:rsidR="002C7BA9" w:rsidRPr="00DE649C">
              <w:rPr>
                <w:rtl/>
              </w:rPr>
              <w:t xml:space="preserve"> </w:t>
            </w:r>
            <w:r w:rsidR="002C7BA9" w:rsidRPr="00DE649C">
              <w:rPr>
                <w:rFonts w:hint="eastAsia"/>
                <w:rtl/>
              </w:rPr>
              <w:t>הממשלה</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של</w:t>
            </w:r>
            <w:r w:rsidR="002C7BA9" w:rsidRPr="00DE649C">
              <w:rPr>
                <w:rtl/>
              </w:rPr>
              <w:t xml:space="preserve"> </w:t>
            </w:r>
            <w:r w:rsidR="002C7BA9" w:rsidRPr="00DE649C">
              <w:rPr>
                <w:rFonts w:hint="eastAsia"/>
                <w:rtl/>
              </w:rPr>
              <w:t>רשות</w:t>
            </w:r>
            <w:r w:rsidR="002C7BA9" w:rsidRPr="00DE649C">
              <w:rPr>
                <w:rtl/>
              </w:rPr>
              <w:t xml:space="preserve"> </w:t>
            </w:r>
            <w:r w:rsidR="002C7BA9" w:rsidRPr="00DE649C">
              <w:rPr>
                <w:rFonts w:hint="eastAsia"/>
                <w:rtl/>
              </w:rPr>
              <w:t>מקומית</w:t>
            </w:r>
            <w:r w:rsidR="002C7BA9" w:rsidRPr="00DE649C">
              <w:rPr>
                <w:rtl/>
              </w:rPr>
              <w:t xml:space="preserve">, </w:t>
            </w:r>
            <w:r w:rsidR="002C7BA9" w:rsidRPr="00DE649C">
              <w:rPr>
                <w:rFonts w:hint="eastAsia"/>
                <w:rtl/>
              </w:rPr>
              <w:t>לרבות</w:t>
            </w:r>
            <w:r w:rsidR="002C7BA9" w:rsidRPr="00DE649C">
              <w:rPr>
                <w:rtl/>
              </w:rPr>
              <w:t xml:space="preserve"> </w:t>
            </w:r>
            <w:r w:rsidR="002C7BA9" w:rsidRPr="00DE649C">
              <w:rPr>
                <w:rFonts w:hint="eastAsia"/>
                <w:rtl/>
              </w:rPr>
              <w:t>חברת</w:t>
            </w:r>
            <w:r w:rsidR="002C7BA9" w:rsidRPr="00DE649C">
              <w:rPr>
                <w:rtl/>
              </w:rPr>
              <w:t xml:space="preserve"> </w:t>
            </w:r>
            <w:r w:rsidR="002C7BA9" w:rsidRPr="00DE649C">
              <w:rPr>
                <w:rFonts w:hint="eastAsia"/>
                <w:rtl/>
              </w:rPr>
              <w:t>בת</w:t>
            </w:r>
            <w:r w:rsidR="002C7BA9" w:rsidRPr="00DE649C">
              <w:rPr>
                <w:rtl/>
              </w:rPr>
              <w:t xml:space="preserve"> </w:t>
            </w:r>
            <w:r w:rsidR="002C7BA9" w:rsidRPr="00DE649C">
              <w:rPr>
                <w:rFonts w:hint="eastAsia"/>
                <w:rtl/>
              </w:rPr>
              <w:t>ממשלתית</w:t>
            </w:r>
            <w:r w:rsidR="002C7BA9" w:rsidRPr="00DE649C">
              <w:rPr>
                <w:rtl/>
              </w:rPr>
              <w:t xml:space="preserve"> </w:t>
            </w:r>
            <w:r w:rsidR="002C7BA9" w:rsidRPr="00DE649C">
              <w:rPr>
                <w:rFonts w:hint="eastAsia"/>
                <w:rtl/>
              </w:rPr>
              <w:t>וחברה</w:t>
            </w:r>
            <w:r w:rsidR="002C7BA9" w:rsidRPr="00DE649C">
              <w:rPr>
                <w:rtl/>
              </w:rPr>
              <w:t xml:space="preserve"> </w:t>
            </w:r>
            <w:r w:rsidR="002C7BA9" w:rsidRPr="00DE649C">
              <w:rPr>
                <w:rFonts w:hint="eastAsia"/>
                <w:rtl/>
              </w:rPr>
              <w:t>מעורבת</w:t>
            </w:r>
            <w:r w:rsidR="002C7BA9" w:rsidRPr="00DE649C">
              <w:rPr>
                <w:rtl/>
              </w:rPr>
              <w:t xml:space="preserve"> </w:t>
            </w:r>
            <w:r w:rsidR="002C7BA9" w:rsidRPr="00DE649C">
              <w:rPr>
                <w:rFonts w:hint="eastAsia"/>
                <w:rtl/>
              </w:rPr>
              <w:t>כמשמעותן</w:t>
            </w:r>
            <w:r w:rsidR="002C7BA9" w:rsidRPr="00DE649C">
              <w:rPr>
                <w:rtl/>
              </w:rPr>
              <w:t xml:space="preserve"> </w:t>
            </w:r>
            <w:r w:rsidR="002C7BA9" w:rsidRPr="00DE649C">
              <w:rPr>
                <w:rFonts w:hint="eastAsia"/>
                <w:rtl/>
              </w:rPr>
              <w:t>בחוק</w:t>
            </w:r>
            <w:r w:rsidR="002C7BA9" w:rsidRPr="00DE649C">
              <w:rPr>
                <w:rtl/>
              </w:rPr>
              <w:t xml:space="preserve"> </w:t>
            </w:r>
            <w:r w:rsidR="002C7BA9" w:rsidRPr="00DE649C">
              <w:rPr>
                <w:rFonts w:hint="eastAsia"/>
                <w:rtl/>
              </w:rPr>
              <w:t>החברות</w:t>
            </w:r>
            <w:r w:rsidR="002C7BA9" w:rsidRPr="00DE649C">
              <w:rPr>
                <w:rtl/>
              </w:rPr>
              <w:t xml:space="preserve"> </w:t>
            </w:r>
            <w:r w:rsidR="002C7BA9" w:rsidRPr="00DE649C">
              <w:rPr>
                <w:rFonts w:hint="eastAsia"/>
                <w:rtl/>
              </w:rPr>
              <w:t>הממשלתיות</w:t>
            </w:r>
            <w:r w:rsidR="002C7BA9" w:rsidRPr="00DE649C">
              <w:rPr>
                <w:rtl/>
              </w:rPr>
              <w:t xml:space="preserve"> </w:t>
            </w:r>
            <w:proofErr w:type="spellStart"/>
            <w:r w:rsidR="002C7BA9">
              <w:rPr>
                <w:rFonts w:hint="cs"/>
                <w:rtl/>
              </w:rPr>
              <w:t>ה</w:t>
            </w:r>
            <w:r w:rsidR="002C7BA9" w:rsidRPr="00DE649C">
              <w:rPr>
                <w:rFonts w:hint="eastAsia"/>
                <w:rtl/>
              </w:rPr>
              <w:t>תשל</w:t>
            </w:r>
            <w:r w:rsidR="002C7BA9" w:rsidRPr="00DE649C">
              <w:rPr>
                <w:rtl/>
              </w:rPr>
              <w:t>"ה</w:t>
            </w:r>
            <w:proofErr w:type="spellEnd"/>
            <w:r w:rsidR="002C7BA9" w:rsidRPr="00DE649C">
              <w:rPr>
                <w:rFonts w:hint="eastAsia"/>
                <w:rtl/>
              </w:rPr>
              <w:t>–</w:t>
            </w:r>
            <w:r w:rsidR="002C7BA9" w:rsidRPr="00DE649C">
              <w:rPr>
                <w:rtl/>
              </w:rPr>
              <w:t>1975</w:t>
            </w:r>
            <w:r w:rsidR="002C7BA9" w:rsidRPr="004C59F9">
              <w:rPr>
                <w:vertAlign w:val="superscript"/>
                <w:rtl/>
              </w:rPr>
              <w:footnoteReference w:id="2"/>
            </w:r>
            <w:r>
              <w:rPr>
                <w:rFonts w:hint="cs"/>
                <w:rtl/>
              </w:rPr>
              <w:t xml:space="preserve">, </w:t>
            </w:r>
            <w:r w:rsidR="002C7BA9" w:rsidRPr="00DE649C">
              <w:rPr>
                <w:rFonts w:hint="eastAsia"/>
                <w:rtl/>
              </w:rPr>
              <w:t>וכן</w:t>
            </w:r>
            <w:r w:rsidR="002C7BA9" w:rsidRPr="00DE649C">
              <w:rPr>
                <w:rtl/>
              </w:rPr>
              <w:t xml:space="preserve"> </w:t>
            </w:r>
            <w:r w:rsidR="002C7BA9" w:rsidRPr="00DE649C">
              <w:rPr>
                <w:rFonts w:hint="eastAsia"/>
                <w:rtl/>
              </w:rPr>
              <w:t>כל</w:t>
            </w:r>
            <w:r w:rsidR="002C7BA9" w:rsidRPr="00DE649C">
              <w:rPr>
                <w:rtl/>
              </w:rPr>
              <w:t xml:space="preserve"> </w:t>
            </w:r>
            <w:r w:rsidR="002C7BA9" w:rsidRPr="00DE649C">
              <w:rPr>
                <w:rFonts w:hint="eastAsia"/>
                <w:rtl/>
              </w:rPr>
              <w:t>גוף</w:t>
            </w:r>
            <w:r w:rsidR="002C7BA9" w:rsidRPr="00DE649C">
              <w:rPr>
                <w:rtl/>
              </w:rPr>
              <w:t xml:space="preserve"> </w:t>
            </w:r>
            <w:r w:rsidR="002C7BA9" w:rsidRPr="00DE649C">
              <w:rPr>
                <w:rFonts w:hint="eastAsia"/>
                <w:rtl/>
              </w:rPr>
              <w:t>המתוקצב</w:t>
            </w:r>
            <w:r>
              <w:rPr>
                <w:rFonts w:hint="cs"/>
                <w:rtl/>
              </w:rPr>
              <w:t xml:space="preserve"> </w:t>
            </w:r>
            <w:r w:rsidR="002C7BA9" w:rsidRPr="00DE649C">
              <w:rPr>
                <w:rFonts w:hint="eastAsia"/>
                <w:rtl/>
              </w:rPr>
              <w:t>במישרין</w:t>
            </w:r>
            <w:r w:rsidR="002C7BA9" w:rsidRPr="00DE649C">
              <w:rPr>
                <w:rtl/>
              </w:rPr>
              <w:t xml:space="preserve"> </w:t>
            </w:r>
            <w:r w:rsidR="002C7BA9" w:rsidRPr="00DE649C">
              <w:rPr>
                <w:rFonts w:hint="eastAsia"/>
                <w:rtl/>
              </w:rPr>
              <w:t>או</w:t>
            </w:r>
            <w:r w:rsidR="002C7BA9" w:rsidRPr="00DE649C">
              <w:rPr>
                <w:rtl/>
              </w:rPr>
              <w:t xml:space="preserve"> </w:t>
            </w:r>
            <w:r w:rsidR="002C7BA9" w:rsidRPr="00DE649C">
              <w:rPr>
                <w:rFonts w:hint="eastAsia"/>
                <w:rtl/>
              </w:rPr>
              <w:t>בעקיפין</w:t>
            </w:r>
            <w:r w:rsidR="002C7BA9" w:rsidRPr="00DE649C">
              <w:rPr>
                <w:rtl/>
              </w:rPr>
              <w:t xml:space="preserve"> </w:t>
            </w:r>
            <w:r w:rsidR="002C7BA9" w:rsidRPr="00DE649C">
              <w:rPr>
                <w:rFonts w:hint="eastAsia"/>
                <w:rtl/>
              </w:rPr>
              <w:t>מתקציב</w:t>
            </w:r>
            <w:r w:rsidR="002C7BA9" w:rsidRPr="00DE649C">
              <w:rPr>
                <w:rtl/>
              </w:rPr>
              <w:t xml:space="preserve"> </w:t>
            </w:r>
            <w:r w:rsidR="002C7BA9" w:rsidRPr="00DE649C">
              <w:rPr>
                <w:rFonts w:hint="eastAsia"/>
                <w:rtl/>
              </w:rPr>
              <w:t>המדינה</w:t>
            </w:r>
            <w:r w:rsidR="002C7BA9" w:rsidRPr="00DE649C">
              <w:rPr>
                <w:rtl/>
              </w:rPr>
              <w:t>.</w:t>
            </w:r>
          </w:p>
        </w:tc>
      </w:tr>
      <w:tr w:rsidR="002C7BA9" w14:paraId="1F109025" w14:textId="77777777" w:rsidTr="002C7BA9">
        <w:trPr>
          <w:cantSplit/>
        </w:trPr>
        <w:tc>
          <w:tcPr>
            <w:tcW w:w="1871" w:type="dxa"/>
          </w:tcPr>
          <w:p w14:paraId="09CEE934" w14:textId="77777777" w:rsidR="002C7BA9" w:rsidRPr="00DE649C" w:rsidRDefault="002C7BA9" w:rsidP="00F85675">
            <w:pPr>
              <w:pStyle w:val="TableSideHeading"/>
              <w:ind w:right="0"/>
              <w:rPr>
                <w:rtl/>
              </w:rPr>
            </w:pPr>
            <w:r w:rsidRPr="00FB2181">
              <w:rPr>
                <w:rtl/>
              </w:rPr>
              <w:t>תשלום חוב באמצעות שובר</w:t>
            </w:r>
          </w:p>
        </w:tc>
        <w:tc>
          <w:tcPr>
            <w:tcW w:w="624" w:type="dxa"/>
          </w:tcPr>
          <w:p w14:paraId="61D51AD3" w14:textId="77777777" w:rsidR="002C7BA9" w:rsidRPr="00DA05E4" w:rsidRDefault="002C7BA9" w:rsidP="00F85675">
            <w:pPr>
              <w:pStyle w:val="TableText"/>
              <w:ind w:right="0"/>
              <w:jc w:val="both"/>
              <w:rPr>
                <w:rtl/>
              </w:rPr>
            </w:pPr>
            <w:r w:rsidRPr="00DA05E4">
              <w:rPr>
                <w:rFonts w:hint="cs"/>
                <w:rtl/>
              </w:rPr>
              <w:t>2.</w:t>
            </w:r>
          </w:p>
        </w:tc>
        <w:tc>
          <w:tcPr>
            <w:tcW w:w="7143" w:type="dxa"/>
          </w:tcPr>
          <w:p w14:paraId="4772ED90" w14:textId="5AE918F5" w:rsidR="002C7BA9" w:rsidRPr="00DE649C" w:rsidRDefault="002C7BA9" w:rsidP="002C7BA9">
            <w:pPr>
              <w:pStyle w:val="TableBlock"/>
              <w:rPr>
                <w:rtl/>
              </w:rPr>
            </w:pPr>
            <w:r w:rsidRPr="00DE649C">
              <w:rPr>
                <w:rtl/>
              </w:rPr>
              <w:t xml:space="preserve">גוף ציבורי יאפשר ליחיד המבקש לפרוס את חובו </w:t>
            </w:r>
            <w:r w:rsidR="000510A1">
              <w:rPr>
                <w:rtl/>
              </w:rPr>
              <w:t>בתשלומים עיתיים</w:t>
            </w:r>
            <w:r w:rsidRPr="00DE649C">
              <w:rPr>
                <w:rtl/>
              </w:rPr>
              <w:t xml:space="preserve"> לשלם באמצעות שוברי תשלום; על עצם הפריסה כאמור לא תתווסף ריבית או אגרה.</w:t>
            </w:r>
          </w:p>
        </w:tc>
      </w:tr>
      <w:tr w:rsidR="002C7BA9" w14:paraId="5EF84AD1" w14:textId="77777777" w:rsidTr="002C7BA9">
        <w:trPr>
          <w:cantSplit/>
        </w:trPr>
        <w:tc>
          <w:tcPr>
            <w:tcW w:w="1871" w:type="dxa"/>
          </w:tcPr>
          <w:p w14:paraId="5976A552" w14:textId="77777777" w:rsidR="002C7BA9" w:rsidRPr="00DA05E4" w:rsidRDefault="002C7BA9" w:rsidP="00F85675">
            <w:pPr>
              <w:pStyle w:val="TableSideHeading"/>
              <w:rPr>
                <w:sz w:val="26"/>
                <w:rtl/>
              </w:rPr>
            </w:pPr>
            <w:r w:rsidRPr="00DA05E4">
              <w:rPr>
                <w:sz w:val="26"/>
                <w:rtl/>
              </w:rPr>
              <w:t>ביצוע ותקנות</w:t>
            </w:r>
          </w:p>
        </w:tc>
        <w:tc>
          <w:tcPr>
            <w:tcW w:w="624" w:type="dxa"/>
          </w:tcPr>
          <w:p w14:paraId="37B11860" w14:textId="77777777" w:rsidR="002C7BA9" w:rsidRDefault="002C7BA9" w:rsidP="00F85675">
            <w:pPr>
              <w:pStyle w:val="TableText"/>
              <w:rPr>
                <w:rtl/>
              </w:rPr>
            </w:pPr>
            <w:r>
              <w:rPr>
                <w:rFonts w:hint="cs"/>
                <w:rtl/>
              </w:rPr>
              <w:t>3.</w:t>
            </w:r>
          </w:p>
        </w:tc>
        <w:tc>
          <w:tcPr>
            <w:tcW w:w="7143" w:type="dxa"/>
          </w:tcPr>
          <w:p w14:paraId="2000EFB2" w14:textId="04E0B42C" w:rsidR="002C7BA9" w:rsidRPr="00DA05E4" w:rsidRDefault="000510A1" w:rsidP="002C7BA9">
            <w:pPr>
              <w:pStyle w:val="TableBlock"/>
              <w:textAlignment w:val="auto"/>
              <w:rPr>
                <w:sz w:val="26"/>
                <w:rtl/>
              </w:rPr>
            </w:pPr>
            <w:r>
              <w:rPr>
                <w:sz w:val="26"/>
                <w:rtl/>
              </w:rPr>
              <w:t xml:space="preserve">שר המשפטים יתקין תקנות לביצוע </w:t>
            </w:r>
            <w:r w:rsidR="002C7BA9" w:rsidRPr="00DA05E4">
              <w:rPr>
                <w:sz w:val="26"/>
                <w:rtl/>
              </w:rPr>
              <w:t>חוק</w:t>
            </w:r>
            <w:r>
              <w:rPr>
                <w:rFonts w:hint="cs"/>
                <w:sz w:val="26"/>
                <w:rtl/>
              </w:rPr>
              <w:t xml:space="preserve"> זה</w:t>
            </w:r>
            <w:r w:rsidR="002C7BA9" w:rsidRPr="00DA05E4">
              <w:rPr>
                <w:sz w:val="26"/>
                <w:rtl/>
              </w:rPr>
              <w:t xml:space="preserve"> בתוך שישה חודשים מיום תחילתו.</w:t>
            </w:r>
          </w:p>
        </w:tc>
      </w:tr>
    </w:tbl>
    <w:p w14:paraId="765B14E1" w14:textId="77777777" w:rsidR="002C7BA9" w:rsidRDefault="002C7BA9" w:rsidP="002C7BA9">
      <w:pPr>
        <w:pStyle w:val="HeadDivreiHesber"/>
        <w:rPr>
          <w:rtl/>
        </w:rPr>
      </w:pPr>
      <w:r w:rsidRPr="0027450A">
        <w:rPr>
          <w:rFonts w:hint="cs"/>
          <w:rtl/>
        </w:rPr>
        <w:t>דברי הסבר</w:t>
      </w:r>
    </w:p>
    <w:p w14:paraId="1F3CFD97" w14:textId="77777777" w:rsidR="002C7BA9" w:rsidRPr="00DE649C" w:rsidRDefault="002C7BA9" w:rsidP="002C7BA9">
      <w:pPr>
        <w:pStyle w:val="Hesber"/>
      </w:pPr>
      <w:r w:rsidRPr="00FB2181">
        <w:rPr>
          <w:rFonts w:hint="cs"/>
          <w:rtl/>
        </w:rPr>
        <w:t xml:space="preserve">   כיום, קיימים גופים ציבוריים רבים כגון חברות ממשלתיות, נותני שירותים חיוניים וכדו', אשר אינם מאפשרים תשלום חוב </w:t>
      </w:r>
      <w:r>
        <w:rPr>
          <w:rFonts w:hint="cs"/>
          <w:rtl/>
        </w:rPr>
        <w:t>ל</w:t>
      </w:r>
      <w:r w:rsidRPr="00FB2181">
        <w:rPr>
          <w:rFonts w:hint="cs"/>
          <w:rtl/>
        </w:rPr>
        <w:t xml:space="preserve">שיעורין, למעט באמצעות כרטיס אשראי, בתוספת ריבית. התשלום באמצעות כרטיס אשראי בקרדיט מוסיף ריביות נוספות על הריביות הקבועות בחוק שיכולים חלק מהגופים הציבוריים לגבות על תשלום החובות. כך לדוגמא – לגבי רשויות מקומיות, סעיף 4(ב) לחוק הרשויות </w:t>
      </w:r>
      <w:r w:rsidRPr="00FB2181">
        <w:rPr>
          <w:rFonts w:hint="cs"/>
          <w:rtl/>
        </w:rPr>
        <w:lastRenderedPageBreak/>
        <w:t xml:space="preserve">המקומיות (ריבית והפרשי הצמדה על תשלומי חובה) קובע כי רשות מקומית רשאית לקבוע הסדר תשלומים לתקופה שלא תעלה על שנתיים, כאשר הריבית על כל תשלום היא 18% שנתית או ריבית אחרת ששר האוצר ושר הפנים יקבעו. בצו רשויות מקומיות (ריבית והפרשי הצמדה על תשלומי חוב) נקבע שהריבית תהיה ריבית </w:t>
      </w:r>
      <w:proofErr w:type="spellStart"/>
      <w:r w:rsidRPr="00FB2181">
        <w:rPr>
          <w:rFonts w:hint="cs"/>
          <w:rtl/>
        </w:rPr>
        <w:t>חשכ"ל</w:t>
      </w:r>
      <w:proofErr w:type="spellEnd"/>
      <w:r w:rsidRPr="00FB2181">
        <w:rPr>
          <w:rFonts w:hint="cs"/>
          <w:rtl/>
        </w:rPr>
        <w:t xml:space="preserve">, שהיא נכון להיום 2.5% שנתי ו-0.283% חודשי. הקביעה כי הסדר כזה יבוצע באמצעות כרטיס אשראי בשיטת קרדיט תוביל להוספה של ריבית לכל תשלום, והדבר עלול להקשות ביותר על בעל החוב העומד בפני קושי כלכלי ונאלץ להגיע להסדר חובותיו. </w:t>
      </w:r>
    </w:p>
    <w:p w14:paraId="01D95B75" w14:textId="72F4BAEF" w:rsidR="002C7BA9" w:rsidRPr="00FB2181" w:rsidRDefault="002C7BA9" w:rsidP="000510A1">
      <w:pPr>
        <w:pStyle w:val="Hesber"/>
        <w:rPr>
          <w:rtl/>
        </w:rPr>
      </w:pPr>
      <w:r w:rsidRPr="00FB2181">
        <w:rPr>
          <w:rFonts w:hint="cs"/>
          <w:rtl/>
        </w:rPr>
        <w:t xml:space="preserve">המצב הנוכחי מהווה פגיעה חמורה ביותר באוכלוסיות המוחלשות אשר הן דווקא הנדרשות לרוב </w:t>
      </w:r>
      <w:r w:rsidR="000510A1">
        <w:rPr>
          <w:rFonts w:hint="cs"/>
          <w:rtl/>
        </w:rPr>
        <w:t>לפריסת חובותיהם. זאת משני טעמים:</w:t>
      </w:r>
      <w:r w:rsidRPr="00FB2181">
        <w:rPr>
          <w:rFonts w:hint="cs"/>
          <w:rtl/>
        </w:rPr>
        <w:t xml:space="preserve"> ראשית מדובר בהוספת סכום לתשלום החודשי אשר עלול להקשות על החי</w:t>
      </w:r>
      <w:r w:rsidR="000510A1">
        <w:rPr>
          <w:rFonts w:hint="cs"/>
          <w:rtl/>
        </w:rPr>
        <w:t xml:space="preserve">יבים; </w:t>
      </w:r>
      <w:r w:rsidRPr="00FB2181">
        <w:rPr>
          <w:rFonts w:hint="cs"/>
          <w:rtl/>
        </w:rPr>
        <w:t xml:space="preserve">שנית מדובר באוכלוסיות אשר לעיתים קרובות ביותר אין בידיהן כלל כרטיס אשראי. במצב זה הדרישה לתשלום אך ורק באמצעות כרטיס אשראי מהווה חסם בפני אנשים אלו בדרך לפירעון החוב ולמעשה מובילה אותם למצב של אין ברירה כאשר הם אינם יכולים לשלם את החוב בעודו בר פירעון בתשלומים והם נאלצים לצבור את חובותיהם כאשר הם תופחים וצוברים הוצאות גבייה ואכיפה, עד להגעה להליכים חמורים ביותר. </w:t>
      </w:r>
    </w:p>
    <w:p w14:paraId="0A964391" w14:textId="77777777" w:rsidR="002C7BA9" w:rsidRPr="00FB2181" w:rsidRDefault="002C7BA9" w:rsidP="002C7BA9">
      <w:pPr>
        <w:pStyle w:val="Hesber"/>
        <w:rPr>
          <w:rtl/>
        </w:rPr>
      </w:pPr>
      <w:r w:rsidRPr="00FB2181">
        <w:rPr>
          <w:rFonts w:hint="cs"/>
          <w:rtl/>
        </w:rPr>
        <w:t xml:space="preserve">לפיכך מוצע כי כל עסקה הנעשית בין תושב ישראל לבין גוף ציבורי כמוגדר בחוק – היינו המדינה, גופים מתוקצבים, מוסדות ציבוריים, חברות ציבוריות וכל מי שמצוי בחוזה עם המדינה וגופיה – תגלם בתוכה את האפשרות לשלם את החוב שנגרם בגינה בתשלומים ללא קרדיט, באמצעות כלי הזמין לאוכלוסיות מוחלשות כגון שוברי תשלום. </w:t>
      </w:r>
    </w:p>
    <w:p w14:paraId="41AABDA9" w14:textId="5229BCC7" w:rsidR="002C7BA9" w:rsidRDefault="002C7BA9" w:rsidP="002C7BA9">
      <w:pPr>
        <w:pStyle w:val="Hesber"/>
        <w:rPr>
          <w:rtl/>
        </w:rPr>
      </w:pPr>
      <w:r w:rsidRPr="00FB2181">
        <w:rPr>
          <w:rFonts w:hint="cs"/>
          <w:rtl/>
        </w:rPr>
        <w:t>הצעה זו נכתבה בשיתוף עמותת "ידיד"</w:t>
      </w:r>
      <w:r w:rsidR="000510A1">
        <w:rPr>
          <w:rFonts w:hint="cs"/>
          <w:rtl/>
        </w:rPr>
        <w:t>.</w:t>
      </w:r>
    </w:p>
    <w:p w14:paraId="0C591FE8" w14:textId="77777777" w:rsidR="000510A1" w:rsidRDefault="000510A1" w:rsidP="002C7BA9">
      <w:pPr>
        <w:pStyle w:val="Hesber"/>
        <w:rPr>
          <w:rtl/>
        </w:rPr>
      </w:pPr>
    </w:p>
    <w:p w14:paraId="1AC08C0C" w14:textId="77777777" w:rsidR="000510A1" w:rsidRDefault="000510A1" w:rsidP="002C7BA9">
      <w:pPr>
        <w:pStyle w:val="Hesber"/>
        <w:rPr>
          <w:rtl/>
        </w:rPr>
      </w:pPr>
    </w:p>
    <w:p w14:paraId="7BF06B96" w14:textId="77777777" w:rsidR="000510A1" w:rsidRPr="00D73212" w:rsidRDefault="000510A1" w:rsidP="000510A1">
      <w:pPr>
        <w:pStyle w:val="Hesber"/>
        <w:rPr>
          <w:color w:val="auto"/>
          <w:rtl/>
          <w:lang w:eastAsia="en-US"/>
        </w:rPr>
      </w:pPr>
      <w:r w:rsidRPr="00D73212">
        <w:rPr>
          <w:color w:val="auto"/>
          <w:rtl/>
          <w:lang w:eastAsia="en-US"/>
        </w:rPr>
        <w:t>---------------------------------</w:t>
      </w:r>
    </w:p>
    <w:p w14:paraId="515C501A" w14:textId="77777777" w:rsidR="000510A1" w:rsidRPr="00D73212" w:rsidRDefault="000510A1" w:rsidP="000510A1">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D79E3F7" w14:textId="77777777" w:rsidR="000510A1" w:rsidRPr="00D73212" w:rsidRDefault="000510A1" w:rsidP="000510A1">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82B5180" w14:textId="77777777" w:rsidR="000510A1" w:rsidRPr="00317312" w:rsidRDefault="000510A1" w:rsidP="000510A1">
      <w:pPr>
        <w:pStyle w:val="Hesber"/>
      </w:pPr>
      <w:r>
        <w:rPr>
          <w:rFonts w:hint="cs"/>
          <w:color w:val="auto"/>
          <w:rtl/>
          <w:lang w:eastAsia="en-US"/>
        </w:rPr>
        <w:t>כ"ט בתשרי</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31.10</w:t>
      </w:r>
      <w:r w:rsidRPr="00D73212">
        <w:rPr>
          <w:color w:val="auto"/>
          <w:rtl/>
          <w:lang w:eastAsia="en-US"/>
        </w:rPr>
        <w:t>.1</w:t>
      </w:r>
      <w:r>
        <w:rPr>
          <w:rFonts w:hint="cs"/>
          <w:color w:val="auto"/>
          <w:rtl/>
          <w:lang w:eastAsia="en-US"/>
        </w:rPr>
        <w:t>6</w:t>
      </w:r>
    </w:p>
    <w:p w14:paraId="2566463E" w14:textId="77777777" w:rsidR="000510A1" w:rsidRPr="00FB2181" w:rsidRDefault="000510A1" w:rsidP="002C7BA9">
      <w:pPr>
        <w:pStyle w:val="Hesber"/>
        <w:rPr>
          <w:rtl/>
        </w:rPr>
      </w:pPr>
    </w:p>
    <w:p w14:paraId="7F6961CB" w14:textId="76B955BD" w:rsidR="00E13C27" w:rsidRPr="002C7BA9" w:rsidRDefault="00E13C27" w:rsidP="002C7BA9">
      <w:pPr>
        <w:pStyle w:val="Hesber"/>
        <w:ind w:firstLine="0"/>
        <w:rPr>
          <w:rtl/>
        </w:rPr>
      </w:pPr>
    </w:p>
    <w:sectPr w:rsidR="00E13C27" w:rsidRPr="002C7BA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588C5" w14:textId="77777777" w:rsidR="00D34E70" w:rsidRDefault="00D34E70">
      <w:r>
        <w:separator/>
      </w:r>
    </w:p>
  </w:endnote>
  <w:endnote w:type="continuationSeparator" w:id="0">
    <w:p w14:paraId="2F17986B" w14:textId="77777777" w:rsidR="00D34E70" w:rsidRDefault="00D34E70">
      <w:r>
        <w:continuationSeparator/>
      </w:r>
    </w:p>
  </w:endnote>
  <w:endnote w:type="continuationNotice" w:id="1">
    <w:p w14:paraId="0B88E2F0" w14:textId="77777777" w:rsidR="00D34E70" w:rsidRDefault="00D34E7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2145E4">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FA2DE" w14:textId="77777777" w:rsidR="00D34E70" w:rsidRDefault="00D34E70">
      <w:r>
        <w:separator/>
      </w:r>
    </w:p>
  </w:footnote>
  <w:footnote w:type="continuationSeparator" w:id="0">
    <w:p w14:paraId="7D77F0C6" w14:textId="77777777" w:rsidR="00D34E70" w:rsidRDefault="00D34E70">
      <w:r>
        <w:continuationSeparator/>
      </w:r>
    </w:p>
  </w:footnote>
  <w:footnote w:type="continuationNotice" w:id="1">
    <w:p w14:paraId="6F2AEE06" w14:textId="77777777" w:rsidR="00D34E70" w:rsidRDefault="00D34E70"/>
  </w:footnote>
  <w:footnote w:id="2">
    <w:p w14:paraId="4380E2B7" w14:textId="77777777" w:rsidR="002C7BA9" w:rsidRDefault="002C7BA9" w:rsidP="002C7BA9">
      <w:pPr>
        <w:pStyle w:val="a4"/>
      </w:pPr>
      <w:r>
        <w:rPr>
          <w:rStyle w:val="a5"/>
        </w:rPr>
        <w:footnoteRef/>
      </w:r>
      <w:r>
        <w:rPr>
          <w:rtl/>
        </w:rPr>
        <w:t xml:space="preserve"> </w:t>
      </w:r>
      <w:r>
        <w:rPr>
          <w:rFonts w:hint="cs"/>
          <w:rtl/>
        </w:rPr>
        <w:t xml:space="preserve">ס"ח </w:t>
      </w:r>
      <w:proofErr w:type="spellStart"/>
      <w:r>
        <w:rPr>
          <w:rFonts w:hint="cs"/>
          <w:rtl/>
        </w:rPr>
        <w:t>התשל"ה</w:t>
      </w:r>
      <w:proofErr w:type="spellEnd"/>
      <w:r>
        <w:rPr>
          <w:rFonts w:hint="cs"/>
          <w:rtl/>
        </w:rPr>
        <w:t>, עמ' 132.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68367A"/>
    <w:multiLevelType w:val="hybridMultilevel"/>
    <w:tmpl w:val="2A2EA17A"/>
    <w:lvl w:ilvl="0" w:tplc="515801F4">
      <w:start w:val="1"/>
      <w:numFmt w:val="hebrew1"/>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10A1"/>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45E4"/>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C7BA9"/>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58FD"/>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34E70"/>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BA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2C7BA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2C7BA9"/>
    <w:rPr>
      <w:sz w:val="36"/>
      <w:szCs w:val="52"/>
    </w:rPr>
  </w:style>
  <w:style w:type="paragraph" w:customStyle="1" w:styleId="Cover3-Haknesset">
    <w:name w:val="Cover 3-Haknesset"/>
    <w:basedOn w:val="Cover1-Reshumot"/>
    <w:rsid w:val="002C7BA9"/>
    <w:rPr>
      <w:b/>
      <w:bCs/>
      <w:spacing w:val="60"/>
    </w:rPr>
  </w:style>
  <w:style w:type="paragraph" w:customStyle="1" w:styleId="Cover4-Date">
    <w:name w:val="Cover 4-Date"/>
    <w:basedOn w:val="a"/>
    <w:rsid w:val="002C7BA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2C7BA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C7BA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C7BA9"/>
    <w:pPr>
      <w:spacing w:before="120" w:after="120"/>
    </w:pPr>
    <w:rPr>
      <w:color w:val="FF0000"/>
      <w:w w:val="80"/>
    </w:rPr>
  </w:style>
  <w:style w:type="paragraph" w:styleId="a3">
    <w:name w:val="endnote text"/>
    <w:basedOn w:val="a"/>
    <w:semiHidden/>
    <w:rsid w:val="002C7BA9"/>
    <w:pPr>
      <w:ind w:left="227" w:hanging="227"/>
    </w:pPr>
    <w:rPr>
      <w:sz w:val="14"/>
      <w:szCs w:val="22"/>
    </w:rPr>
  </w:style>
  <w:style w:type="paragraph" w:customStyle="1" w:styleId="TableText">
    <w:name w:val="Table Text"/>
    <w:basedOn w:val="a"/>
    <w:rsid w:val="002C7BA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C7BA9"/>
  </w:style>
  <w:style w:type="paragraph" w:customStyle="1" w:styleId="TableBlock">
    <w:name w:val="Table Block"/>
    <w:basedOn w:val="TableText"/>
    <w:rsid w:val="002C7BA9"/>
    <w:pPr>
      <w:ind w:right="0"/>
      <w:jc w:val="both"/>
    </w:pPr>
  </w:style>
  <w:style w:type="paragraph" w:customStyle="1" w:styleId="TableHead">
    <w:name w:val="Table Head"/>
    <w:basedOn w:val="TableText"/>
    <w:rsid w:val="002C7BA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2C7BA9"/>
  </w:style>
  <w:style w:type="paragraph" w:customStyle="1" w:styleId="Hesber">
    <w:name w:val="Hesber"/>
    <w:basedOn w:val="a"/>
    <w:rsid w:val="002C7BA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C7BA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C7BA9"/>
    <w:rPr>
      <w:vertAlign w:val="superscript"/>
    </w:rPr>
  </w:style>
  <w:style w:type="paragraph" w:customStyle="1" w:styleId="HesberHeading">
    <w:name w:val="Hesber Heading"/>
    <w:basedOn w:val="Hesber"/>
    <w:rsid w:val="002C7BA9"/>
    <w:pPr>
      <w:tabs>
        <w:tab w:val="left" w:pos="624"/>
        <w:tab w:val="left" w:pos="1247"/>
      </w:tabs>
      <w:ind w:firstLine="0"/>
    </w:pPr>
    <w:rPr>
      <w:b/>
      <w:bCs/>
    </w:rPr>
  </w:style>
  <w:style w:type="paragraph" w:customStyle="1" w:styleId="HesberWriters">
    <w:name w:val="Hesber Writers"/>
    <w:basedOn w:val="Hesber"/>
    <w:rsid w:val="002C7BA9"/>
    <w:pPr>
      <w:spacing w:before="120" w:after="6000"/>
      <w:ind w:left="1418" w:firstLine="0"/>
      <w:jc w:val="right"/>
    </w:pPr>
    <w:rPr>
      <w:b/>
      <w:bCs/>
    </w:rPr>
  </w:style>
  <w:style w:type="paragraph" w:customStyle="1" w:styleId="Hesber1st">
    <w:name w:val="Hesber 1st"/>
    <w:basedOn w:val="Hesber"/>
    <w:rsid w:val="002C7BA9"/>
    <w:pPr>
      <w:tabs>
        <w:tab w:val="left" w:pos="680"/>
        <w:tab w:val="left" w:pos="1020"/>
      </w:tabs>
      <w:ind w:firstLine="0"/>
    </w:pPr>
  </w:style>
  <w:style w:type="character" w:styleId="a6">
    <w:name w:val="endnote reference"/>
    <w:basedOn w:val="a0"/>
    <w:semiHidden/>
    <w:rsid w:val="002C7BA9"/>
    <w:rPr>
      <w:vertAlign w:val="superscript"/>
    </w:rPr>
  </w:style>
  <w:style w:type="paragraph" w:customStyle="1" w:styleId="TableBlockOutdent">
    <w:name w:val="Table BlockOutdent"/>
    <w:basedOn w:val="TableBlock"/>
    <w:rsid w:val="002C7BA9"/>
    <w:pPr>
      <w:ind w:left="624" w:hanging="624"/>
    </w:pPr>
  </w:style>
  <w:style w:type="paragraph" w:styleId="a7">
    <w:name w:val="header"/>
    <w:basedOn w:val="a"/>
    <w:rsid w:val="002C7BA9"/>
    <w:pPr>
      <w:tabs>
        <w:tab w:val="center" w:pos="4153"/>
        <w:tab w:val="right" w:pos="8306"/>
      </w:tabs>
    </w:pPr>
  </w:style>
  <w:style w:type="paragraph" w:styleId="a8">
    <w:name w:val="footer"/>
    <w:basedOn w:val="a"/>
    <w:rsid w:val="002C7BA9"/>
    <w:pPr>
      <w:tabs>
        <w:tab w:val="center" w:pos="4153"/>
        <w:tab w:val="right" w:pos="8306"/>
      </w:tabs>
    </w:pPr>
  </w:style>
  <w:style w:type="paragraph" w:customStyle="1" w:styleId="HeadDivreiHesber">
    <w:name w:val="Head DivreiHesber"/>
    <w:basedOn w:val="a"/>
    <w:rsid w:val="002C7BA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2C7BA9"/>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2C7BA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00357">
      <w:bodyDiv w:val="1"/>
      <w:marLeft w:val="0"/>
      <w:marRight w:val="0"/>
      <w:marTop w:val="0"/>
      <w:marBottom w:val="0"/>
      <w:divBdr>
        <w:top w:val="none" w:sz="0" w:space="0" w:color="auto"/>
        <w:left w:val="none" w:sz="0" w:space="0" w:color="auto"/>
        <w:bottom w:val="none" w:sz="0" w:space="0" w:color="auto"/>
        <w:right w:val="none" w:sz="0" w:space="0" w:color="auto"/>
      </w:divBdr>
    </w:div>
    <w:div w:id="1481263847">
      <w:bodyDiv w:val="1"/>
      <w:marLeft w:val="0"/>
      <w:marRight w:val="0"/>
      <w:marTop w:val="0"/>
      <w:marBottom w:val="0"/>
      <w:divBdr>
        <w:top w:val="none" w:sz="0" w:space="0" w:color="auto"/>
        <w:left w:val="none" w:sz="0" w:space="0" w:color="auto"/>
        <w:bottom w:val="none" w:sz="0" w:space="0" w:color="auto"/>
        <w:right w:val="none" w:sz="0" w:space="0" w:color="auto"/>
      </w:divBdr>
    </w:div>
    <w:div w:id="1754203403">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744F46B2-AC5B-4636-940E-721E64E6A05D}"/>
</file>

<file path=customXml/itemProps4.xml><?xml version="1.0" encoding="utf-8"?>
<ds:datastoreItem xmlns:ds="http://schemas.openxmlformats.org/officeDocument/2006/customXml" ds:itemID="{190794B8-64E0-4E16-B6F0-B66D2A9B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461</Words>
  <Characters>2308</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2016-10-13T10:20:00Z</cp:lastPrinted>
  <dcterms:created xsi:type="dcterms:W3CDTF">2018-01-23T15:36:00Z</dcterms:created>
  <dcterms:modified xsi:type="dcterms:W3CDTF">2018-01-23T15:36:00Z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2064384</vt:r8>
  </property>
</Properties>
</file>