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572903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1E8A987C" w:rsidR="00E13C27" w:rsidRPr="00CF1AA2" w:rsidRDefault="008F6665" w:rsidP="0037425A">
      <w:pPr>
        <w:pStyle w:val="David"/>
        <w:spacing w:line="360" w:lineRule="auto"/>
        <w:ind w:left="1440" w:firstLine="720"/>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יחיאל חיליק בר</w:t>
      </w:r>
      <w:r w:rsidR="0037425A" w:rsidRPr="0037425A">
        <w:rPr>
          <w:rFonts w:hint="cs"/>
          <w:b/>
          <w:bCs/>
          <w:rtl/>
        </w:rPr>
        <w:t xml:space="preserve"> </w:t>
      </w:r>
      <w:r w:rsidR="0037425A">
        <w:rPr>
          <w:b/>
          <w:bCs/>
          <w:rtl/>
        </w:rPr>
        <w:tab/>
      </w:r>
      <w:r w:rsidR="0037425A">
        <w:rPr>
          <w:rFonts w:hint="cs"/>
          <w:b/>
          <w:bCs/>
          <w:rtl/>
        </w:rPr>
        <w:t>רויטל סויד</w:t>
      </w:r>
      <w:r>
        <w:br/>
      </w:r>
      <w:r>
        <w:rPr>
          <w:rFonts w:hint="cs"/>
          <w:b/>
          <w:bCs/>
          <w:rtl/>
        </w:rPr>
        <w:t xml:space="preserve"> </w:t>
      </w:r>
      <w:r>
        <w:tab/>
      </w:r>
      <w:r>
        <w:tab/>
      </w:r>
      <w:r>
        <w:tab/>
      </w:r>
      <w:r>
        <w:tab/>
      </w:r>
      <w:r w:rsidR="0037425A">
        <w:tab/>
      </w:r>
      <w:r>
        <w:rPr>
          <w:rFonts w:hint="cs"/>
          <w:b/>
          <w:bCs/>
          <w:rtl/>
        </w:rPr>
        <w:t xml:space="preserve">קסניה </w:t>
      </w:r>
      <w:proofErr w:type="spellStart"/>
      <w:r>
        <w:rPr>
          <w:rFonts w:hint="cs"/>
          <w:b/>
          <w:bCs/>
          <w:rtl/>
        </w:rPr>
        <w:t>סבטלובה</w:t>
      </w:r>
      <w:proofErr w:type="spellEnd"/>
      <w:r w:rsidR="0037425A" w:rsidRPr="0037425A">
        <w:rPr>
          <w:rFonts w:hint="cs"/>
          <w:b/>
          <w:bCs/>
          <w:rtl/>
        </w:rPr>
        <w:t xml:space="preserve"> </w:t>
      </w:r>
      <w:r w:rsidR="0037425A">
        <w:rPr>
          <w:b/>
          <w:bCs/>
          <w:rtl/>
        </w:rPr>
        <w:tab/>
      </w:r>
      <w:r w:rsidR="0037425A">
        <w:rPr>
          <w:rFonts w:hint="cs"/>
          <w:b/>
          <w:bCs/>
          <w:rtl/>
        </w:rPr>
        <w:t>עבדאללה אבו מערוף</w:t>
      </w:r>
      <w:r>
        <w:br/>
      </w:r>
      <w:r>
        <w:rPr>
          <w:rFonts w:hint="cs"/>
          <w:b/>
          <w:bCs/>
          <w:rtl/>
        </w:rPr>
        <w:t xml:space="preserve"> </w:t>
      </w:r>
      <w:r>
        <w:tab/>
      </w:r>
      <w:r>
        <w:tab/>
      </w:r>
      <w:r>
        <w:tab/>
      </w:r>
      <w:r>
        <w:tab/>
      </w:r>
      <w:r w:rsidR="0037425A">
        <w:rPr>
          <w:b/>
          <w:bCs/>
          <w:rtl/>
        </w:rPr>
        <w:tab/>
      </w:r>
      <w:r>
        <w:rPr>
          <w:rFonts w:hint="cs"/>
          <w:b/>
          <w:bCs/>
          <w:rtl/>
        </w:rPr>
        <w:t>מיכאל אורן</w:t>
      </w:r>
      <w:r w:rsidR="0037425A" w:rsidRPr="0037425A">
        <w:rPr>
          <w:rFonts w:hint="cs"/>
          <w:b/>
          <w:bCs/>
          <w:rtl/>
        </w:rPr>
        <w:t xml:space="preserve"> </w:t>
      </w:r>
      <w:r w:rsidR="0037425A">
        <w:rPr>
          <w:b/>
          <w:bCs/>
          <w:rtl/>
        </w:rPr>
        <w:tab/>
      </w:r>
      <w:r w:rsidR="0037425A">
        <w:rPr>
          <w:b/>
          <w:bCs/>
          <w:rtl/>
        </w:rPr>
        <w:tab/>
      </w:r>
      <w:r w:rsidR="0037425A">
        <w:rPr>
          <w:rFonts w:hint="cs"/>
          <w:b/>
          <w:bCs/>
          <w:rtl/>
        </w:rPr>
        <w:t>מירב בן ארי</w:t>
      </w:r>
      <w:r>
        <w:br/>
      </w:r>
      <w:r>
        <w:rPr>
          <w:rFonts w:hint="cs"/>
          <w:b/>
          <w:bCs/>
          <w:rtl/>
        </w:rPr>
        <w:t xml:space="preserve"> </w:t>
      </w:r>
      <w:r>
        <w:tab/>
      </w:r>
      <w:r>
        <w:tab/>
      </w:r>
      <w:r>
        <w:tab/>
      </w:r>
      <w:r>
        <w:tab/>
      </w:r>
      <w:r w:rsidR="0037425A">
        <w:rPr>
          <w:b/>
          <w:bCs/>
          <w:rtl/>
        </w:rPr>
        <w:tab/>
      </w:r>
      <w:r>
        <w:rPr>
          <w:rFonts w:hint="cs"/>
          <w:b/>
          <w:bCs/>
          <w:rtl/>
        </w:rPr>
        <w:t>יפעת שאשא ביטון</w:t>
      </w:r>
      <w:r w:rsidR="0037425A" w:rsidRPr="0037425A">
        <w:rPr>
          <w:rFonts w:hint="cs"/>
          <w:b/>
          <w:bCs/>
          <w:rtl/>
        </w:rPr>
        <w:t xml:space="preserve"> </w:t>
      </w:r>
      <w:r w:rsidR="0037425A">
        <w:rPr>
          <w:b/>
          <w:bCs/>
          <w:rtl/>
        </w:rPr>
        <w:tab/>
      </w:r>
      <w:r w:rsidR="0037425A">
        <w:rPr>
          <w:rFonts w:hint="cs"/>
          <w:b/>
          <w:bCs/>
          <w:rtl/>
        </w:rPr>
        <w:t>קארין אלהרר</w:t>
      </w:r>
      <w:r>
        <w:br/>
      </w:r>
      <w:r>
        <w:rPr>
          <w:rFonts w:hint="cs"/>
          <w:b/>
          <w:bCs/>
          <w:rtl/>
        </w:rPr>
        <w:t xml:space="preserve"> </w:t>
      </w:r>
      <w:r>
        <w:tab/>
      </w:r>
      <w:r>
        <w:tab/>
      </w:r>
      <w:r>
        <w:tab/>
      </w:r>
      <w:r>
        <w:tab/>
      </w:r>
      <w:r w:rsidR="0037425A">
        <w:tab/>
      </w:r>
      <w:r>
        <w:rPr>
          <w:rFonts w:hint="cs"/>
          <w:b/>
          <w:bCs/>
          <w:rtl/>
        </w:rPr>
        <w:t>דוד ביטן</w:t>
      </w:r>
      <w:r w:rsidR="0037425A" w:rsidRPr="0037425A">
        <w:rPr>
          <w:rFonts w:hint="cs"/>
          <w:b/>
          <w:bCs/>
          <w:rtl/>
        </w:rPr>
        <w:t xml:space="preserve"> </w:t>
      </w:r>
      <w:r w:rsidR="0037425A">
        <w:rPr>
          <w:b/>
          <w:bCs/>
          <w:rtl/>
        </w:rPr>
        <w:tab/>
      </w:r>
      <w:r w:rsidR="0037425A">
        <w:rPr>
          <w:b/>
          <w:bCs/>
          <w:rtl/>
        </w:rPr>
        <w:tab/>
      </w:r>
      <w:r w:rsidR="0037425A">
        <w:rPr>
          <w:rFonts w:hint="cs"/>
          <w:b/>
          <w:bCs/>
          <w:rtl/>
        </w:rPr>
        <w:t>דב חנין</w:t>
      </w:r>
      <w:r>
        <w:br/>
      </w:r>
      <w:r>
        <w:rPr>
          <w:rFonts w:hint="cs"/>
          <w:b/>
          <w:bCs/>
          <w:rtl/>
        </w:rPr>
        <w:t xml:space="preserve"> </w:t>
      </w:r>
      <w:r>
        <w:tab/>
      </w:r>
      <w:r>
        <w:tab/>
      </w:r>
      <w:r>
        <w:tab/>
      </w:r>
      <w:r>
        <w:tab/>
      </w:r>
      <w:r w:rsidR="0037425A">
        <w:tab/>
      </w:r>
      <w:r>
        <w:rPr>
          <w:rFonts w:hint="cs"/>
          <w:b/>
          <w:bCs/>
          <w:rtl/>
        </w:rPr>
        <w:t>יואב קיש</w:t>
      </w:r>
      <w:r w:rsidR="0037425A" w:rsidRPr="0037425A">
        <w:rPr>
          <w:rFonts w:hint="cs"/>
          <w:b/>
          <w:bCs/>
          <w:rtl/>
        </w:rPr>
        <w:t xml:space="preserve"> </w:t>
      </w:r>
      <w:r w:rsidR="0037425A">
        <w:rPr>
          <w:b/>
          <w:bCs/>
          <w:rtl/>
        </w:rPr>
        <w:tab/>
      </w:r>
      <w:r w:rsidR="0037425A">
        <w:rPr>
          <w:b/>
          <w:bCs/>
          <w:rtl/>
        </w:rPr>
        <w:tab/>
      </w:r>
      <w:r w:rsidR="0037425A">
        <w:rPr>
          <w:rFonts w:hint="cs"/>
          <w:b/>
          <w:bCs/>
          <w:rtl/>
        </w:rPr>
        <w:t>יואל רזבוזוב</w:t>
      </w:r>
      <w:r>
        <w:br/>
      </w:r>
      <w:r>
        <w:rPr>
          <w:rFonts w:hint="cs"/>
          <w:b/>
          <w:bCs/>
          <w:rtl/>
        </w:rPr>
        <w:t xml:space="preserve"> </w:t>
      </w:r>
      <w:r>
        <w:tab/>
      </w:r>
      <w:r>
        <w:tab/>
      </w:r>
      <w:r>
        <w:tab/>
      </w:r>
      <w:r>
        <w:tab/>
      </w:r>
      <w:r w:rsidR="0037425A">
        <w:rPr>
          <w:b/>
          <w:bCs/>
          <w:rtl/>
        </w:rPr>
        <w:tab/>
      </w:r>
      <w:r>
        <w:rPr>
          <w:rFonts w:hint="cs"/>
          <w:b/>
          <w:bCs/>
          <w:rtl/>
        </w:rPr>
        <w:t>שרן השכל</w:t>
      </w:r>
      <w:r w:rsidR="0037425A" w:rsidRPr="0037425A">
        <w:rPr>
          <w:rFonts w:hint="cs"/>
          <w:b/>
          <w:bCs/>
          <w:rtl/>
        </w:rPr>
        <w:t xml:space="preserve"> </w:t>
      </w:r>
      <w:r w:rsidR="0037425A">
        <w:rPr>
          <w:b/>
          <w:bCs/>
          <w:rtl/>
        </w:rPr>
        <w:tab/>
      </w:r>
      <w:r w:rsidR="0037425A">
        <w:rPr>
          <w:b/>
          <w:bCs/>
          <w:rtl/>
        </w:rPr>
        <w:tab/>
      </w:r>
      <w:r w:rsidR="0037425A">
        <w:rPr>
          <w:rFonts w:hint="cs"/>
          <w:b/>
          <w:bCs/>
          <w:rtl/>
        </w:rPr>
        <w:t>תמר זנדברג</w:t>
      </w:r>
      <w:r>
        <w:br/>
      </w:r>
      <w:r>
        <w:rPr>
          <w:rFonts w:hint="cs"/>
          <w:b/>
          <w:bCs/>
          <w:rtl/>
        </w:rPr>
        <w:t xml:space="preserve"> </w:t>
      </w:r>
      <w:r>
        <w:tab/>
      </w:r>
      <w:r>
        <w:tab/>
      </w:r>
      <w:r>
        <w:tab/>
      </w:r>
      <w:r>
        <w:tab/>
      </w:r>
      <w:r w:rsidR="0037425A">
        <w:tab/>
      </w:r>
      <w:r>
        <w:rPr>
          <w:rFonts w:hint="cs"/>
          <w:b/>
          <w:bCs/>
          <w:rtl/>
        </w:rPr>
        <w:t>טלי פלוסקוב</w:t>
      </w:r>
      <w:r w:rsidR="0037425A" w:rsidRPr="0037425A">
        <w:rPr>
          <w:rFonts w:hint="cs"/>
          <w:b/>
          <w:bCs/>
          <w:rtl/>
        </w:rPr>
        <w:t xml:space="preserve"> </w:t>
      </w:r>
      <w:r w:rsidR="0037425A">
        <w:rPr>
          <w:b/>
          <w:bCs/>
          <w:rtl/>
        </w:rPr>
        <w:tab/>
      </w:r>
      <w:r w:rsidR="0037425A">
        <w:rPr>
          <w:b/>
          <w:bCs/>
          <w:rtl/>
        </w:rPr>
        <w:tab/>
      </w:r>
      <w:r w:rsidR="0037425A">
        <w:rPr>
          <w:rFonts w:hint="cs"/>
          <w:b/>
          <w:bCs/>
          <w:rtl/>
        </w:rPr>
        <w:t>מיקי לוי</w:t>
      </w:r>
      <w:r>
        <w:br/>
      </w:r>
      <w:r>
        <w:rPr>
          <w:rFonts w:hint="cs"/>
          <w:b/>
          <w:bCs/>
          <w:rtl/>
        </w:rPr>
        <w:t xml:space="preserve"> </w:t>
      </w:r>
      <w:r>
        <w:tab/>
      </w:r>
      <w:r>
        <w:tab/>
      </w:r>
      <w:r>
        <w:tab/>
      </w:r>
      <w:r>
        <w:tab/>
      </w:r>
      <w:r w:rsidR="0037425A">
        <w:rPr>
          <w:b/>
          <w:bCs/>
          <w:rtl/>
        </w:rPr>
        <w:tab/>
      </w:r>
      <w:r>
        <w:rPr>
          <w:rFonts w:hint="cs"/>
          <w:b/>
          <w:bCs/>
          <w:rtl/>
        </w:rPr>
        <w:t>יצחק וקנין</w:t>
      </w:r>
      <w:r w:rsidR="0037425A" w:rsidRPr="0037425A">
        <w:rPr>
          <w:rFonts w:hint="cs"/>
          <w:b/>
          <w:bCs/>
          <w:rtl/>
        </w:rPr>
        <w:t xml:space="preserve"> </w:t>
      </w:r>
      <w:r w:rsidR="0037425A">
        <w:rPr>
          <w:b/>
          <w:bCs/>
          <w:rtl/>
        </w:rPr>
        <w:tab/>
      </w:r>
      <w:r w:rsidR="0037425A">
        <w:rPr>
          <w:b/>
          <w:bCs/>
          <w:rtl/>
        </w:rPr>
        <w:tab/>
      </w:r>
      <w:r w:rsidR="0037425A">
        <w:rPr>
          <w:rFonts w:hint="cs"/>
          <w:b/>
          <w:bCs/>
          <w:rtl/>
        </w:rPr>
        <w:t>אלעזר שטרן</w:t>
      </w:r>
      <w:r>
        <w:br/>
      </w:r>
      <w:r>
        <w:rPr>
          <w:rFonts w:hint="cs"/>
          <w:b/>
          <w:bCs/>
          <w:rtl/>
        </w:rPr>
        <w:t xml:space="preserve"> </w:t>
      </w:r>
      <w:r>
        <w:tab/>
      </w:r>
      <w:r>
        <w:tab/>
      </w:r>
      <w:r>
        <w:tab/>
      </w:r>
      <w:r>
        <w:tab/>
      </w:r>
      <w:r w:rsidR="0037425A">
        <w:rPr>
          <w:b/>
          <w:bCs/>
          <w:rtl/>
        </w:rPr>
        <w:tab/>
      </w:r>
      <w:r>
        <w:rPr>
          <w:rFonts w:hint="cs"/>
          <w:b/>
          <w:bCs/>
          <w:rtl/>
        </w:rPr>
        <w:t>רועי פולקמן</w:t>
      </w:r>
      <w:r w:rsidR="0037425A" w:rsidRPr="0037425A">
        <w:rPr>
          <w:rFonts w:hint="cs"/>
          <w:b/>
          <w:bCs/>
          <w:rtl/>
        </w:rPr>
        <w:t xml:space="preserve"> </w:t>
      </w:r>
      <w:r w:rsidR="0037425A">
        <w:rPr>
          <w:b/>
          <w:bCs/>
          <w:rtl/>
        </w:rPr>
        <w:tab/>
      </w:r>
      <w:r w:rsidR="0037425A">
        <w:rPr>
          <w:b/>
          <w:bCs/>
          <w:rtl/>
        </w:rPr>
        <w:tab/>
      </w:r>
      <w:r w:rsidR="0037425A">
        <w:rPr>
          <w:rFonts w:hint="cs"/>
          <w:b/>
          <w:bCs/>
          <w:rtl/>
        </w:rPr>
        <w:t>איילת נחמיאס ורבין</w:t>
      </w:r>
      <w:r>
        <w:br/>
      </w:r>
      <w:r>
        <w:rPr>
          <w:rFonts w:hint="cs"/>
          <w:b/>
          <w:bCs/>
          <w:rtl/>
        </w:rPr>
        <w:t xml:space="preserve"> </w:t>
      </w:r>
      <w:r>
        <w:tab/>
      </w:r>
      <w:r>
        <w:tab/>
      </w:r>
      <w:r>
        <w:tab/>
      </w:r>
      <w:r>
        <w:tab/>
      </w:r>
      <w:r w:rsidR="0037425A">
        <w:rPr>
          <w:b/>
          <w:bCs/>
          <w:rtl/>
        </w:rPr>
        <w:tab/>
      </w:r>
      <w:r>
        <w:rPr>
          <w:rFonts w:hint="cs"/>
          <w:b/>
          <w:bCs/>
          <w:rtl/>
        </w:rPr>
        <w:t>ישראל אייכלר</w:t>
      </w:r>
      <w:r w:rsidR="0037425A" w:rsidRPr="0037425A">
        <w:rPr>
          <w:rFonts w:hint="cs"/>
          <w:b/>
          <w:bCs/>
          <w:rtl/>
        </w:rPr>
        <w:t xml:space="preserve"> </w:t>
      </w:r>
      <w:r w:rsidR="0037425A">
        <w:rPr>
          <w:b/>
          <w:bCs/>
          <w:rtl/>
        </w:rPr>
        <w:tab/>
      </w:r>
      <w:r w:rsidR="0037425A">
        <w:rPr>
          <w:rFonts w:hint="cs"/>
          <w:b/>
          <w:bCs/>
          <w:rtl/>
        </w:rPr>
        <w:t>חיים ילין</w:t>
      </w:r>
      <w:r>
        <w:br/>
      </w:r>
      <w:r>
        <w:rPr>
          <w:rFonts w:hint="cs"/>
          <w:b/>
          <w:bCs/>
          <w:rtl/>
        </w:rPr>
        <w:t xml:space="preserve"> </w:t>
      </w:r>
      <w:r>
        <w:tab/>
      </w:r>
      <w:r>
        <w:tab/>
      </w:r>
      <w:r>
        <w:tab/>
      </w:r>
      <w:r>
        <w:tab/>
      </w:r>
      <w:r w:rsidR="0037425A">
        <w:rPr>
          <w:b/>
          <w:bCs/>
          <w:rtl/>
        </w:rPr>
        <w:tab/>
      </w:r>
      <w:r>
        <w:rPr>
          <w:rFonts w:hint="cs"/>
          <w:b/>
          <w:bCs/>
          <w:rtl/>
        </w:rPr>
        <w:t>אורן אסף חזן</w:t>
      </w:r>
      <w:r w:rsidR="0037425A" w:rsidRPr="0037425A">
        <w:rPr>
          <w:rFonts w:hint="cs"/>
          <w:b/>
          <w:bCs/>
          <w:rtl/>
        </w:rPr>
        <w:t xml:space="preserve"> </w:t>
      </w:r>
      <w:r w:rsidR="0037425A">
        <w:rPr>
          <w:b/>
          <w:bCs/>
          <w:rtl/>
        </w:rPr>
        <w:tab/>
      </w:r>
      <w:r w:rsidR="0037425A">
        <w:rPr>
          <w:b/>
          <w:bCs/>
          <w:rtl/>
        </w:rPr>
        <w:tab/>
      </w:r>
      <w:r w:rsidR="0037425A">
        <w:rPr>
          <w:rFonts w:hint="cs"/>
          <w:b/>
          <w:bCs/>
          <w:rtl/>
        </w:rPr>
        <w:t>עיסאווי פריג'</w:t>
      </w:r>
      <w:r>
        <w:br/>
      </w:r>
      <w:r>
        <w:rPr>
          <w:rFonts w:hint="cs"/>
          <w:b/>
          <w:bCs/>
          <w:rtl/>
        </w:rPr>
        <w:t xml:space="preserve"> </w:t>
      </w:r>
      <w:r>
        <w:tab/>
      </w:r>
      <w:r>
        <w:tab/>
      </w:r>
      <w:r>
        <w:tab/>
      </w:r>
      <w:r>
        <w:tab/>
      </w:r>
      <w:r w:rsidR="0037425A">
        <w:tab/>
      </w:r>
      <w:r>
        <w:rPr>
          <w:rFonts w:hint="cs"/>
          <w:b/>
          <w:bCs/>
          <w:rtl/>
        </w:rPr>
        <w:t>אברהם נגוסה</w:t>
      </w:r>
      <w:r w:rsidR="0037425A" w:rsidRPr="0037425A">
        <w:rPr>
          <w:rFonts w:hint="cs"/>
          <w:b/>
          <w:bCs/>
          <w:rtl/>
        </w:rPr>
        <w:t xml:space="preserve"> </w:t>
      </w:r>
      <w:r w:rsidR="0037425A">
        <w:rPr>
          <w:b/>
          <w:bCs/>
          <w:rtl/>
        </w:rPr>
        <w:tab/>
      </w:r>
      <w:r w:rsidR="0037425A">
        <w:rPr>
          <w:b/>
          <w:bCs/>
          <w:rtl/>
        </w:rPr>
        <w:tab/>
      </w:r>
      <w:r w:rsidR="0037425A">
        <w:rPr>
          <w:rFonts w:hint="cs"/>
          <w:b/>
          <w:bCs/>
          <w:rtl/>
        </w:rPr>
        <w:t>נחמן שי</w:t>
      </w:r>
      <w:r>
        <w:br/>
      </w:r>
      <w:r>
        <w:rPr>
          <w:rFonts w:hint="cs"/>
          <w:b/>
          <w:bCs/>
          <w:rtl/>
        </w:rPr>
        <w:t xml:space="preserve"> </w:t>
      </w:r>
      <w:r>
        <w:tab/>
      </w:r>
      <w:r>
        <w:tab/>
      </w:r>
      <w:r>
        <w:tab/>
      </w:r>
      <w:r>
        <w:tab/>
      </w:r>
      <w:r w:rsidR="0037425A">
        <w:rPr>
          <w:b/>
          <w:bCs/>
          <w:rtl/>
        </w:rPr>
        <w:tab/>
      </w:r>
      <w:r>
        <w:rPr>
          <w:rFonts w:hint="cs"/>
          <w:b/>
          <w:bCs/>
          <w:rtl/>
        </w:rPr>
        <w:t>איתן כבל</w:t>
      </w:r>
      <w:r w:rsidR="0037425A" w:rsidRPr="0037425A">
        <w:rPr>
          <w:rFonts w:hint="cs"/>
          <w:b/>
          <w:bCs/>
          <w:rtl/>
        </w:rPr>
        <w:t xml:space="preserve"> </w:t>
      </w:r>
      <w:r w:rsidR="0037425A">
        <w:rPr>
          <w:b/>
          <w:bCs/>
          <w:rtl/>
        </w:rPr>
        <w:tab/>
      </w:r>
      <w:r w:rsidR="0037425A">
        <w:rPr>
          <w:b/>
          <w:bCs/>
          <w:rtl/>
        </w:rPr>
        <w:tab/>
      </w:r>
      <w:r w:rsidR="0037425A">
        <w:rPr>
          <w:rFonts w:hint="cs"/>
          <w:b/>
          <w:bCs/>
          <w:rtl/>
        </w:rPr>
        <w:t>איל בן ראובן</w:t>
      </w:r>
      <w:r>
        <w:br/>
      </w:r>
      <w:r>
        <w:rPr>
          <w:rFonts w:hint="cs"/>
          <w:b/>
          <w:bCs/>
          <w:rtl/>
        </w:rPr>
        <w:t xml:space="preserve"> </w:t>
      </w:r>
      <w:r>
        <w:tab/>
      </w:r>
      <w:r>
        <w:tab/>
      </w:r>
      <w:r>
        <w:tab/>
      </w:r>
      <w:r>
        <w:tab/>
      </w:r>
      <w:r w:rsidR="0037425A">
        <w:rPr>
          <w:b/>
          <w:bCs/>
          <w:rtl/>
        </w:rPr>
        <w:tab/>
      </w:r>
      <w:r>
        <w:rPr>
          <w:rFonts w:hint="cs"/>
          <w:b/>
          <w:bCs/>
          <w:rtl/>
        </w:rPr>
        <w:t>איציק שמולי</w:t>
      </w:r>
      <w:r w:rsidR="0037425A" w:rsidRPr="0037425A">
        <w:rPr>
          <w:rFonts w:hint="cs"/>
          <w:b/>
          <w:bCs/>
          <w:rtl/>
        </w:rPr>
        <w:t xml:space="preserve"> </w:t>
      </w:r>
      <w:r w:rsidR="0037425A">
        <w:rPr>
          <w:b/>
          <w:bCs/>
          <w:rtl/>
        </w:rPr>
        <w:tab/>
      </w:r>
      <w:r w:rsidR="0037425A">
        <w:rPr>
          <w:b/>
          <w:bCs/>
          <w:rtl/>
        </w:rPr>
        <w:tab/>
      </w:r>
      <w:r w:rsidR="0037425A">
        <w:rPr>
          <w:rFonts w:hint="cs"/>
          <w:b/>
          <w:bCs/>
          <w:rtl/>
        </w:rPr>
        <w:t>מיכל בירן</w:t>
      </w:r>
      <w:r>
        <w:br/>
      </w:r>
      <w:r>
        <w:rPr>
          <w:rFonts w:hint="cs"/>
          <w:b/>
          <w:bCs/>
          <w:rtl/>
        </w:rPr>
        <w:t xml:space="preserve"> </w:t>
      </w:r>
      <w:r>
        <w:tab/>
      </w:r>
      <w:r>
        <w:tab/>
      </w:r>
      <w:r>
        <w:tab/>
      </w:r>
      <w:r>
        <w:tab/>
      </w:r>
      <w:r w:rsidR="0037425A">
        <w:rPr>
          <w:b/>
          <w:bCs/>
          <w:rtl/>
        </w:rPr>
        <w:tab/>
      </w:r>
      <w:r>
        <w:rPr>
          <w:rFonts w:hint="cs"/>
          <w:b/>
          <w:bCs/>
          <w:rtl/>
        </w:rPr>
        <w:t>יואל חסון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7B0EF24C" w:rsidR="00E13C27" w:rsidRPr="00E06736" w:rsidRDefault="00904591" w:rsidP="0037425A">
      <w:pPr>
        <w:pStyle w:val="David"/>
        <w:spacing w:before="0" w:line="240" w:lineRule="auto"/>
        <w:ind w:left="5040"/>
        <w:rPr>
          <w:rtl/>
        </w:rPr>
      </w:pPr>
      <w:bookmarkStart w:id="7" w:name="Private_Number"/>
      <w:r>
        <w:rPr>
          <w:rFonts w:hint="cs"/>
          <w:rtl/>
        </w:rPr>
        <w:t>פ/2571/20</w:t>
      </w:r>
      <w:bookmarkEnd w:id="7"/>
    </w:p>
    <w:p w14:paraId="7F6961AC" w14:textId="77777777" w:rsidR="00E13C27" w:rsidRDefault="00E13C27" w:rsidP="00E13C27">
      <w:pPr>
        <w:spacing w:before="0" w:line="360" w:lineRule="auto"/>
        <w:ind w:left="2880" w:firstLine="720"/>
        <w:rPr>
          <w:rFonts w:cs="David"/>
          <w:sz w:val="26"/>
          <w:szCs w:val="26"/>
          <w:rtl/>
        </w:rPr>
      </w:pPr>
    </w:p>
    <w:p w14:paraId="07724606" w14:textId="77777777" w:rsidR="0037425A" w:rsidRDefault="00A443CF" w:rsidP="0037425A">
      <w:pPr>
        <w:pStyle w:val="HeadHatzaotHok"/>
        <w:spacing w:before="0"/>
        <w:rPr>
          <w:rtl/>
        </w:rPr>
      </w:pPr>
      <w:bookmarkStart w:id="8" w:name="LGS_Subject"/>
      <w:r>
        <w:rPr>
          <w:rFonts w:hint="cs"/>
          <w:rtl/>
        </w:rPr>
        <w:t xml:space="preserve">הצעת חוק הגנת הצרכן (תיקון </w:t>
      </w:r>
      <w:r w:rsidR="007B1598">
        <w:rPr>
          <w:rFonts w:hint="eastAsia"/>
          <w:rtl/>
        </w:rPr>
        <w:t>–</w:t>
      </w:r>
      <w:r>
        <w:rPr>
          <w:rFonts w:hint="cs"/>
          <w:rtl/>
        </w:rPr>
        <w:t xml:space="preserve"> איסור על נקיבת מחיר שלא ניתן לשלמו במעות שבמחזור), </w:t>
      </w:r>
    </w:p>
    <w:p w14:paraId="7F6961AD" w14:textId="45F503C2" w:rsidR="00E13C27" w:rsidRPr="00F67051" w:rsidRDefault="00A443CF" w:rsidP="0037425A">
      <w:pPr>
        <w:pStyle w:val="HeadHatzaotHok"/>
        <w:spacing w:before="0"/>
        <w:rPr>
          <w:rtl/>
        </w:rPr>
      </w:pPr>
      <w:proofErr w:type="spellStart"/>
      <w:r>
        <w:rPr>
          <w:rFonts w:hint="cs"/>
          <w:rtl/>
        </w:rPr>
        <w:t>התשע"ו</w:t>
      </w:r>
      <w:proofErr w:type="spellEnd"/>
      <w:r w:rsidR="00A35004">
        <w:rPr>
          <w:rFonts w:hint="eastAsia"/>
          <w:rtl/>
        </w:rPr>
        <w:t>–</w:t>
      </w:r>
      <w:r>
        <w:rPr>
          <w:rFonts w:hint="cs"/>
          <w:rtl/>
        </w:rPr>
        <w:t>2016</w:t>
      </w:r>
      <w:bookmarkEnd w:id="8"/>
    </w:p>
    <w:p w14:paraId="7F6961AE" w14:textId="77777777" w:rsidR="00E13C27" w:rsidRDefault="00E13C27" w:rsidP="0037425A">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84967" w14:paraId="035EEF3D" w14:textId="77777777" w:rsidTr="002C3041">
        <w:trPr>
          <w:cantSplit/>
          <w:trHeight w:val="60"/>
        </w:trPr>
        <w:tc>
          <w:tcPr>
            <w:tcW w:w="1871" w:type="dxa"/>
          </w:tcPr>
          <w:p w14:paraId="3863FF98" w14:textId="6FBD1B07" w:rsidR="00B84967" w:rsidRDefault="00B84967" w:rsidP="002C3041">
            <w:pPr>
              <w:pStyle w:val="TableSideHeading"/>
              <w:keepLines w:val="0"/>
            </w:pPr>
            <w:r>
              <w:rPr>
                <w:sz w:val="26"/>
                <w:rtl/>
              </w:rPr>
              <w:t>תיקון סעיף 17ד</w:t>
            </w:r>
          </w:p>
        </w:tc>
        <w:tc>
          <w:tcPr>
            <w:tcW w:w="624" w:type="dxa"/>
          </w:tcPr>
          <w:p w14:paraId="6F513EF6" w14:textId="461CE9BE" w:rsidR="00B84967" w:rsidRDefault="00B84967" w:rsidP="002C3041">
            <w:pPr>
              <w:pStyle w:val="TableText"/>
              <w:keepLines w:val="0"/>
            </w:pPr>
            <w:r>
              <w:rPr>
                <w:rFonts w:hint="cs"/>
                <w:rtl/>
              </w:rPr>
              <w:t>1</w:t>
            </w:r>
            <w:r w:rsidR="0030005D">
              <w:rPr>
                <w:rFonts w:hint="cs"/>
                <w:rtl/>
              </w:rPr>
              <w:t>.</w:t>
            </w:r>
          </w:p>
        </w:tc>
        <w:tc>
          <w:tcPr>
            <w:tcW w:w="7146" w:type="dxa"/>
          </w:tcPr>
          <w:p w14:paraId="1AE94DEB" w14:textId="0199E70F" w:rsidR="00B84967" w:rsidRPr="0030005D" w:rsidRDefault="00B84967" w:rsidP="00ED0E4C">
            <w:pPr>
              <w:pStyle w:val="TableBlock"/>
            </w:pPr>
            <w:r w:rsidRPr="0030005D">
              <w:rPr>
                <w:rtl/>
              </w:rPr>
              <w:t xml:space="preserve">בחוק הגנת הצרכן </w:t>
            </w:r>
            <w:proofErr w:type="spellStart"/>
            <w:r w:rsidRPr="0030005D">
              <w:rPr>
                <w:rtl/>
              </w:rPr>
              <w:t>התשמ"א</w:t>
            </w:r>
            <w:proofErr w:type="spellEnd"/>
            <w:r w:rsidRPr="0030005D">
              <w:rPr>
                <w:rtl/>
              </w:rPr>
              <w:t>–1981</w:t>
            </w:r>
            <w:r w:rsidR="0030005D">
              <w:rPr>
                <w:rStyle w:val="a6"/>
                <w:rtl/>
              </w:rPr>
              <w:footnoteReference w:id="2"/>
            </w:r>
            <w:r w:rsidRPr="0030005D">
              <w:rPr>
                <w:rtl/>
              </w:rPr>
              <w:t>, בסעיף 17ד, האמור בו יסומן "(א)", ואחריו יבוא:</w:t>
            </w:r>
          </w:p>
        </w:tc>
      </w:tr>
      <w:tr w:rsidR="00B84967" w14:paraId="3D9B61D1" w14:textId="77777777" w:rsidTr="002C3041">
        <w:trPr>
          <w:cantSplit/>
          <w:trHeight w:val="60"/>
        </w:trPr>
        <w:tc>
          <w:tcPr>
            <w:tcW w:w="1871" w:type="dxa"/>
          </w:tcPr>
          <w:p w14:paraId="6C0CB9D8" w14:textId="77777777" w:rsidR="00B84967" w:rsidRDefault="00B84967" w:rsidP="002C3041">
            <w:pPr>
              <w:pStyle w:val="TableSideHeading"/>
              <w:keepLines w:val="0"/>
            </w:pPr>
          </w:p>
        </w:tc>
        <w:tc>
          <w:tcPr>
            <w:tcW w:w="624" w:type="dxa"/>
          </w:tcPr>
          <w:p w14:paraId="3F4286A2" w14:textId="77777777" w:rsidR="00B84967" w:rsidRDefault="00B84967" w:rsidP="002C3041">
            <w:pPr>
              <w:pStyle w:val="TableText"/>
              <w:keepLines w:val="0"/>
            </w:pPr>
          </w:p>
        </w:tc>
        <w:tc>
          <w:tcPr>
            <w:tcW w:w="7146" w:type="dxa"/>
          </w:tcPr>
          <w:p w14:paraId="7633D5BB" w14:textId="572BC291" w:rsidR="00B84967" w:rsidRPr="00C34DE2" w:rsidRDefault="00B84967" w:rsidP="002C3041">
            <w:pPr>
              <w:pStyle w:val="TableBlock"/>
              <w:keepLines w:val="0"/>
            </w:pPr>
            <w:r>
              <w:rPr>
                <w:sz w:val="26"/>
                <w:rtl/>
              </w:rPr>
              <w:t>"(ב)</w:t>
            </w:r>
            <w:r>
              <w:rPr>
                <w:sz w:val="26"/>
                <w:rtl/>
              </w:rPr>
              <w:tab/>
              <w:t xml:space="preserve">לא יפרסם עוסק ולא ינקוב, במפורש או במשתמע, מחיר של נכס או של שירות המוצע לצרכן, אלא </w:t>
            </w:r>
            <w:proofErr w:type="spellStart"/>
            <w:r>
              <w:rPr>
                <w:sz w:val="26"/>
                <w:rtl/>
              </w:rPr>
              <w:t>בהילך</w:t>
            </w:r>
            <w:proofErr w:type="spellEnd"/>
            <w:r>
              <w:rPr>
                <w:sz w:val="26"/>
                <w:rtl/>
              </w:rPr>
              <w:t xml:space="preserve"> חוקי שניתן לשלם בו בהתאם לחוק מטבע השקל החדש, </w:t>
            </w:r>
            <w:proofErr w:type="spellStart"/>
            <w:r>
              <w:rPr>
                <w:sz w:val="26"/>
                <w:rtl/>
              </w:rPr>
              <w:t>התשמ"ה</w:t>
            </w:r>
            <w:proofErr w:type="spellEnd"/>
            <w:r>
              <w:rPr>
                <w:sz w:val="26"/>
                <w:rtl/>
              </w:rPr>
              <w:t>–1985</w:t>
            </w:r>
            <w:r>
              <w:rPr>
                <w:rStyle w:val="a6"/>
                <w:sz w:val="26"/>
                <w:rtl/>
              </w:rPr>
              <w:footnoteReference w:id="3"/>
            </w:r>
            <w:r>
              <w:rPr>
                <w:sz w:val="26"/>
                <w:rtl/>
              </w:rPr>
              <w:t>, ולא יפרסם או ינקוב בשטר כסף או במעות שבוטלו.</w:t>
            </w:r>
            <w:r w:rsidR="00ED0E4C">
              <w:rPr>
                <w:rFonts w:hint="cs"/>
                <w:sz w:val="26"/>
                <w:rtl/>
              </w:rPr>
              <w:t>".</w:t>
            </w:r>
          </w:p>
        </w:tc>
      </w:tr>
    </w:tbl>
    <w:p w14:paraId="57E2515F" w14:textId="77777777" w:rsidR="0037425A" w:rsidRDefault="0037425A" w:rsidP="00B84967">
      <w:pPr>
        <w:pStyle w:val="HeadDivreiHesber"/>
        <w:rPr>
          <w:rtl/>
        </w:rPr>
      </w:pPr>
      <w:r>
        <w:rPr>
          <w:rtl/>
        </w:rPr>
        <w:br w:type="page"/>
      </w:r>
    </w:p>
    <w:p w14:paraId="676BCE72" w14:textId="77777777" w:rsidR="00B84967" w:rsidRDefault="00B84967" w:rsidP="00B84967">
      <w:pPr>
        <w:pStyle w:val="HeadDivreiHesber"/>
        <w:rPr>
          <w:rtl/>
        </w:rPr>
      </w:pPr>
      <w:r w:rsidRPr="0027450A">
        <w:rPr>
          <w:rFonts w:hint="cs"/>
          <w:rtl/>
        </w:rPr>
        <w:lastRenderedPageBreak/>
        <w:t>דברי הסבר</w:t>
      </w:r>
    </w:p>
    <w:p w14:paraId="2DDBE6BF" w14:textId="08229172" w:rsidR="00B84967" w:rsidRPr="007B1598" w:rsidRDefault="00B84967" w:rsidP="007B1598">
      <w:pPr>
        <w:pStyle w:val="Hesber"/>
        <w:rPr>
          <w:rtl/>
        </w:rPr>
      </w:pPr>
      <w:r w:rsidRPr="007B1598">
        <w:rPr>
          <w:rFonts w:hint="cs"/>
          <w:rtl/>
        </w:rPr>
        <w:t>חוק הגנת הצרכן</w:t>
      </w:r>
      <w:r w:rsidR="00ED0E4C" w:rsidRPr="007B1598">
        <w:rPr>
          <w:rFonts w:hint="cs"/>
          <w:rtl/>
        </w:rPr>
        <w:t>,</w:t>
      </w:r>
      <w:r w:rsidRPr="007B1598">
        <w:rPr>
          <w:rFonts w:hint="cs"/>
          <w:rtl/>
        </w:rPr>
        <w:t xml:space="preserve"> </w:t>
      </w:r>
      <w:proofErr w:type="spellStart"/>
      <w:r w:rsidR="0075570E" w:rsidRPr="007B1598">
        <w:rPr>
          <w:rFonts w:hint="cs"/>
          <w:rtl/>
        </w:rPr>
        <w:t>התשמ"א</w:t>
      </w:r>
      <w:proofErr w:type="spellEnd"/>
      <w:r w:rsidR="0075570E" w:rsidRPr="007B1598">
        <w:rPr>
          <w:rFonts w:hint="eastAsia"/>
          <w:rtl/>
        </w:rPr>
        <w:t>–1981</w:t>
      </w:r>
      <w:r w:rsidRPr="007B1598">
        <w:rPr>
          <w:rFonts w:hint="cs"/>
          <w:rtl/>
        </w:rPr>
        <w:t xml:space="preserve"> (להלן החוק)</w:t>
      </w:r>
      <w:r w:rsidR="0075570E" w:rsidRPr="007B1598">
        <w:rPr>
          <w:rFonts w:hint="cs"/>
          <w:rtl/>
        </w:rPr>
        <w:t>,</w:t>
      </w:r>
      <w:r w:rsidRPr="007B1598">
        <w:rPr>
          <w:rFonts w:hint="cs"/>
          <w:rtl/>
        </w:rPr>
        <w:t xml:space="preserve"> קובע כי "לא יעשה עוסק דבר </w:t>
      </w:r>
      <w:r w:rsidR="0075570E" w:rsidRPr="007B1598">
        <w:rPr>
          <w:rFonts w:hint="eastAsia"/>
          <w:rtl/>
        </w:rPr>
        <w:t>–</w:t>
      </w:r>
      <w:r w:rsidR="0075570E" w:rsidRPr="007B1598">
        <w:rPr>
          <w:rFonts w:hint="cs"/>
          <w:rtl/>
        </w:rPr>
        <w:t xml:space="preserve"> </w:t>
      </w:r>
      <w:r w:rsidRPr="007B1598">
        <w:rPr>
          <w:rFonts w:hint="cs"/>
          <w:rtl/>
        </w:rPr>
        <w:t xml:space="preserve">במעשה או במחדל, בכתב או בעל-פה או בכל דרך אחרת לרבות לאחר מועד ההתקשרות בעסקה </w:t>
      </w:r>
      <w:r w:rsidR="0075570E" w:rsidRPr="007B1598">
        <w:rPr>
          <w:rFonts w:hint="eastAsia"/>
          <w:rtl/>
        </w:rPr>
        <w:t>–</w:t>
      </w:r>
      <w:r w:rsidR="0075570E" w:rsidRPr="007B1598">
        <w:rPr>
          <w:rFonts w:hint="cs"/>
          <w:rtl/>
        </w:rPr>
        <w:t xml:space="preserve"> </w:t>
      </w:r>
      <w:r w:rsidRPr="007B1598">
        <w:rPr>
          <w:rFonts w:hint="cs"/>
          <w:rtl/>
        </w:rPr>
        <w:t>העלול להטעות צרכן בכל עניין מהותי בעסקה" (להלן</w:t>
      </w:r>
      <w:r w:rsidR="0075570E" w:rsidRPr="007B1598">
        <w:rPr>
          <w:rFonts w:hint="cs"/>
          <w:rtl/>
        </w:rPr>
        <w:t xml:space="preserve"> </w:t>
      </w:r>
      <w:r w:rsidR="0075570E" w:rsidRPr="007B1598">
        <w:rPr>
          <w:rFonts w:hint="eastAsia"/>
          <w:rtl/>
        </w:rPr>
        <w:t>–</w:t>
      </w:r>
      <w:r w:rsidRPr="007B1598">
        <w:rPr>
          <w:rFonts w:hint="cs"/>
          <w:rtl/>
        </w:rPr>
        <w:t xml:space="preserve"> הטעיה). החוק קובע עוד כי קיימת חשיבות לפרסום, הצגה ונקיבה של </w:t>
      </w:r>
      <w:r w:rsidR="0075570E" w:rsidRPr="007B1598">
        <w:rPr>
          <w:rFonts w:hint="cs"/>
          <w:rtl/>
        </w:rPr>
        <w:t>ה</w:t>
      </w:r>
      <w:r w:rsidRPr="007B1598">
        <w:rPr>
          <w:rFonts w:hint="cs"/>
          <w:rtl/>
        </w:rPr>
        <w:t xml:space="preserve">מחיר </w:t>
      </w:r>
      <w:r w:rsidR="0075570E" w:rsidRPr="007B1598">
        <w:rPr>
          <w:rFonts w:hint="cs"/>
          <w:rtl/>
        </w:rPr>
        <w:t>הכולל של הנכס או השירות</w:t>
      </w:r>
      <w:r w:rsidRPr="007B1598">
        <w:rPr>
          <w:rFonts w:hint="cs"/>
          <w:rtl/>
        </w:rPr>
        <w:t xml:space="preserve"> באופן ברור.</w:t>
      </w:r>
    </w:p>
    <w:p w14:paraId="68300679" w14:textId="42F1A18A" w:rsidR="00B84967" w:rsidRPr="007B1598" w:rsidRDefault="00B84967" w:rsidP="007B1598">
      <w:pPr>
        <w:pStyle w:val="Hesber"/>
        <w:rPr>
          <w:rtl/>
        </w:rPr>
      </w:pPr>
      <w:r w:rsidRPr="007B1598">
        <w:rPr>
          <w:rFonts w:hint="cs"/>
          <w:rtl/>
        </w:rPr>
        <w:t>בתחילת שנות ה-90 בנק ישראל ביטל המעה "אגורה"</w:t>
      </w:r>
      <w:r w:rsidR="00370DA0" w:rsidRPr="007B1598">
        <w:rPr>
          <w:rFonts w:hint="cs"/>
          <w:rtl/>
        </w:rPr>
        <w:t>,</w:t>
      </w:r>
      <w:r w:rsidRPr="007B1598">
        <w:rPr>
          <w:rFonts w:hint="cs"/>
          <w:rtl/>
        </w:rPr>
        <w:t xml:space="preserve"> ובשנת 2008 את המעה "5 אגורות". בהתאם לכך</w:t>
      </w:r>
      <w:r w:rsidR="00370DA0" w:rsidRPr="007B1598">
        <w:rPr>
          <w:rFonts w:hint="cs"/>
          <w:rtl/>
        </w:rPr>
        <w:t>,</w:t>
      </w:r>
      <w:r w:rsidRPr="007B1598">
        <w:rPr>
          <w:rFonts w:hint="cs"/>
          <w:rtl/>
        </w:rPr>
        <w:t xml:space="preserve"> </w:t>
      </w:r>
      <w:r w:rsidR="00370DA0" w:rsidRPr="007B1598">
        <w:rPr>
          <w:rFonts w:hint="cs"/>
          <w:rtl/>
        </w:rPr>
        <w:t>נ</w:t>
      </w:r>
      <w:r w:rsidRPr="007B1598">
        <w:rPr>
          <w:rFonts w:hint="cs"/>
          <w:rtl/>
        </w:rPr>
        <w:t>קבע ב</w:t>
      </w:r>
      <w:r w:rsidR="0075570E" w:rsidRPr="007B1598">
        <w:rPr>
          <w:rFonts w:hint="cs"/>
          <w:rtl/>
        </w:rPr>
        <w:t xml:space="preserve">סעיף </w:t>
      </w:r>
      <w:r w:rsidR="001C6377" w:rsidRPr="007B1598">
        <w:rPr>
          <w:rFonts w:hint="cs"/>
          <w:rtl/>
        </w:rPr>
        <w:t>45</w:t>
      </w:r>
      <w:r w:rsidR="0075570E" w:rsidRPr="007B1598">
        <w:rPr>
          <w:rFonts w:hint="cs"/>
          <w:rtl/>
        </w:rPr>
        <w:t xml:space="preserve"> ל</w:t>
      </w:r>
      <w:r w:rsidRPr="007B1598">
        <w:rPr>
          <w:rFonts w:hint="cs"/>
          <w:rtl/>
        </w:rPr>
        <w:t xml:space="preserve">חוק בנק ישראל, </w:t>
      </w:r>
      <w:proofErr w:type="spellStart"/>
      <w:r w:rsidR="0075570E" w:rsidRPr="007B1598">
        <w:rPr>
          <w:rFonts w:hint="cs"/>
          <w:rtl/>
        </w:rPr>
        <w:t>התש</w:t>
      </w:r>
      <w:r w:rsidR="001C6377" w:rsidRPr="007B1598">
        <w:rPr>
          <w:rFonts w:hint="cs"/>
          <w:rtl/>
        </w:rPr>
        <w:t>"ע</w:t>
      </w:r>
      <w:proofErr w:type="spellEnd"/>
      <w:r w:rsidR="0075570E" w:rsidRPr="007B1598">
        <w:rPr>
          <w:rFonts w:hint="eastAsia"/>
          <w:rtl/>
        </w:rPr>
        <w:t>–</w:t>
      </w:r>
      <w:r w:rsidR="001C6377" w:rsidRPr="007B1598">
        <w:rPr>
          <w:rFonts w:hint="cs"/>
          <w:rtl/>
        </w:rPr>
        <w:t>2010</w:t>
      </w:r>
      <w:r w:rsidR="0075570E" w:rsidRPr="007B1598">
        <w:rPr>
          <w:rFonts w:hint="cs"/>
          <w:rtl/>
        </w:rPr>
        <w:t>,</w:t>
      </w:r>
      <w:r w:rsidRPr="007B1598">
        <w:rPr>
          <w:rFonts w:hint="cs"/>
          <w:rtl/>
        </w:rPr>
        <w:t xml:space="preserve"> כי משניתן צו ביטול </w:t>
      </w:r>
      <w:r w:rsidR="0075570E" w:rsidRPr="007B1598">
        <w:rPr>
          <w:rFonts w:hint="cs"/>
          <w:rtl/>
        </w:rPr>
        <w:t>ל</w:t>
      </w:r>
      <w:r w:rsidRPr="007B1598">
        <w:rPr>
          <w:rFonts w:hint="cs"/>
          <w:rtl/>
        </w:rPr>
        <w:t>מעה, כל אימת שיש לשלם במזומ</w:t>
      </w:r>
      <w:r w:rsidR="00370DA0" w:rsidRPr="007B1598">
        <w:rPr>
          <w:rFonts w:hint="cs"/>
          <w:rtl/>
        </w:rPr>
        <w:t>נים</w:t>
      </w:r>
      <w:r w:rsidRPr="007B1598">
        <w:rPr>
          <w:rFonts w:hint="cs"/>
          <w:rtl/>
        </w:rPr>
        <w:t xml:space="preserve"> סכום שלא ניתן לשלמו במעות שבוטלו, יש לעגל את הסכום</w:t>
      </w:r>
      <w:r w:rsidR="00370DA0" w:rsidRPr="007B1598">
        <w:rPr>
          <w:rFonts w:hint="cs"/>
          <w:rtl/>
        </w:rPr>
        <w:t xml:space="preserve"> כמפורט באותו סעיף. כאמור, הוראות הסעיף מתייחסות לתשלום במזומנים בלבד.</w:t>
      </w:r>
    </w:p>
    <w:p w14:paraId="15754F0A" w14:textId="7FBF2E9C" w:rsidR="00B84967" w:rsidRPr="007B1598" w:rsidRDefault="00B84967" w:rsidP="007B1598">
      <w:pPr>
        <w:pStyle w:val="Hesber"/>
        <w:rPr>
          <w:rtl/>
        </w:rPr>
      </w:pPr>
      <w:r w:rsidRPr="007B1598">
        <w:rPr>
          <w:rFonts w:hint="cs"/>
          <w:rtl/>
        </w:rPr>
        <w:t xml:space="preserve">מאז ביטול האגורות </w:t>
      </w:r>
      <w:proofErr w:type="spellStart"/>
      <w:r w:rsidRPr="007B1598">
        <w:rPr>
          <w:rFonts w:hint="cs"/>
          <w:rtl/>
        </w:rPr>
        <w:t>כהילך</w:t>
      </w:r>
      <w:proofErr w:type="spellEnd"/>
      <w:r w:rsidRPr="007B1598">
        <w:rPr>
          <w:rFonts w:hint="cs"/>
          <w:rtl/>
        </w:rPr>
        <w:t xml:space="preserve"> חוקי</w:t>
      </w:r>
      <w:r w:rsidR="0075570E" w:rsidRPr="007B1598">
        <w:rPr>
          <w:rFonts w:hint="cs"/>
          <w:rtl/>
        </w:rPr>
        <w:t>, הועברו</w:t>
      </w:r>
      <w:r w:rsidRPr="007B1598">
        <w:rPr>
          <w:rFonts w:hint="cs"/>
          <w:rtl/>
        </w:rPr>
        <w:t xml:space="preserve"> תלונות רבות של צרכנים הקובלים על ההטעיה בהצגת מחיר במטבע שאינו הילך חוקי, שכן במקרים רבים</w:t>
      </w:r>
      <w:r w:rsidR="00D069E7" w:rsidRPr="007B1598">
        <w:rPr>
          <w:rFonts w:hint="cs"/>
          <w:rtl/>
        </w:rPr>
        <w:t xml:space="preserve"> בהם</w:t>
      </w:r>
      <w:r w:rsidRPr="007B1598">
        <w:rPr>
          <w:rFonts w:hint="cs"/>
          <w:rtl/>
        </w:rPr>
        <w:t xml:space="preserve"> הצרכנים משלמים במזומן, הם אינם מקבלים עודף ועל כן נגבה מהם מחיר גבוה מהמחיר המוצג. יתרה מכך, גם במקרים בהם הצרכנים משלמים בכרטיס אשראי, אף כי רישומית יש לרשום בחשבון הסופי את המחיר שהוצג על המוצר, העוסקים מעגלים את המחיר למחיר גבוה יותר. </w:t>
      </w:r>
      <w:r w:rsidRPr="007B1598">
        <w:rPr>
          <w:rtl/>
        </w:rPr>
        <w:t xml:space="preserve">לדוגמה, הצגת מחיר 49.99 שקלים </w:t>
      </w:r>
      <w:r w:rsidRPr="007B1598">
        <w:rPr>
          <w:rFonts w:hint="cs"/>
          <w:rtl/>
        </w:rPr>
        <w:t xml:space="preserve">חדשים </w:t>
      </w:r>
      <w:r w:rsidRPr="007B1598">
        <w:rPr>
          <w:rtl/>
        </w:rPr>
        <w:t>כאשר בפועל התשלום בכסף מזומן יעמוד על 50 שקלים</w:t>
      </w:r>
      <w:r w:rsidRPr="007B1598">
        <w:rPr>
          <w:rFonts w:hint="cs"/>
          <w:rtl/>
        </w:rPr>
        <w:t xml:space="preserve"> חדשים</w:t>
      </w:r>
      <w:r w:rsidRPr="007B1598">
        <w:rPr>
          <w:rtl/>
        </w:rPr>
        <w:t>.</w:t>
      </w:r>
      <w:r w:rsidRPr="007B1598">
        <w:rPr>
          <w:rFonts w:hint="cs"/>
          <w:rtl/>
        </w:rPr>
        <w:t xml:space="preserve"> </w:t>
      </w:r>
      <w:r w:rsidRPr="007B1598">
        <w:rPr>
          <w:rtl/>
        </w:rPr>
        <w:t>הצגת מחירים זו נועדה להציג מצג שווא של מחיר נמוך יותר, כאשר בפועל מעוגלים סכומים אלה כלפי מעלה.</w:t>
      </w:r>
    </w:p>
    <w:p w14:paraId="2BACB9B6" w14:textId="205D8792" w:rsidR="00D069E7" w:rsidRPr="007B1598" w:rsidRDefault="00B84967" w:rsidP="007B1598">
      <w:pPr>
        <w:pStyle w:val="Hesber"/>
        <w:rPr>
          <w:rtl/>
        </w:rPr>
      </w:pPr>
      <w:r w:rsidRPr="007B1598">
        <w:rPr>
          <w:rFonts w:hint="cs"/>
          <w:rtl/>
        </w:rPr>
        <w:t xml:space="preserve">על כן, אי נקיבה ופרסום </w:t>
      </w:r>
      <w:proofErr w:type="spellStart"/>
      <w:r w:rsidRPr="007B1598">
        <w:rPr>
          <w:rFonts w:hint="cs"/>
          <w:rtl/>
        </w:rPr>
        <w:t>בהילך</w:t>
      </w:r>
      <w:proofErr w:type="spellEnd"/>
      <w:r w:rsidRPr="007B1598">
        <w:rPr>
          <w:rFonts w:hint="cs"/>
          <w:rtl/>
        </w:rPr>
        <w:t xml:space="preserve"> לא חוקי מהווה הטעיה, שכן מדובר במחיר שאינו קיים, אינו </w:t>
      </w:r>
      <w:proofErr w:type="spellStart"/>
      <w:r w:rsidRPr="007B1598">
        <w:rPr>
          <w:rFonts w:hint="cs"/>
          <w:rtl/>
        </w:rPr>
        <w:t>אמיתי</w:t>
      </w:r>
      <w:proofErr w:type="spellEnd"/>
      <w:r w:rsidRPr="007B1598">
        <w:rPr>
          <w:rFonts w:hint="cs"/>
          <w:rtl/>
        </w:rPr>
        <w:t xml:space="preserve"> וכל כולו יצירת מצג שווא של מחיר זול יותר. </w:t>
      </w:r>
    </w:p>
    <w:p w14:paraId="364824AF" w14:textId="12D06135" w:rsidR="00D069E7" w:rsidRPr="007B1598" w:rsidRDefault="00D069E7" w:rsidP="007B1598">
      <w:pPr>
        <w:pStyle w:val="Hesber"/>
        <w:rPr>
          <w:rtl/>
        </w:rPr>
      </w:pPr>
      <w:r w:rsidRPr="007B1598">
        <w:rPr>
          <w:rFonts w:hint="cs"/>
          <w:rtl/>
        </w:rPr>
        <w:t>בהנחיה שפרסם הממונה על הרשות להגנת הצרכן ולסחר הוגן</w:t>
      </w:r>
      <w:r w:rsidR="00370DA0" w:rsidRPr="007B1598">
        <w:rPr>
          <w:rFonts w:hint="cs"/>
          <w:rtl/>
        </w:rPr>
        <w:t xml:space="preserve"> בנובמבר 2013</w:t>
      </w:r>
      <w:r w:rsidRPr="007B1598">
        <w:rPr>
          <w:rFonts w:hint="cs"/>
          <w:rtl/>
        </w:rPr>
        <w:t xml:space="preserve">, קבע הממונה כי הצגה, נקיבה או פרסום מחיר על מוצר או שירות במעות שיצאו משימוש, מהווה עבירה של הטעיה לפי סעיף 2 לחוק. </w:t>
      </w:r>
    </w:p>
    <w:p w14:paraId="5065E881" w14:textId="4D8F7B2B" w:rsidR="00B84967" w:rsidRPr="007B1598" w:rsidRDefault="00D069E7" w:rsidP="007B1598">
      <w:pPr>
        <w:pStyle w:val="Hesber"/>
      </w:pPr>
      <w:r w:rsidRPr="007B1598">
        <w:rPr>
          <w:rFonts w:hint="cs"/>
          <w:rtl/>
        </w:rPr>
        <w:t xml:space="preserve">לפיכך, </w:t>
      </w:r>
      <w:r w:rsidR="00370DA0" w:rsidRPr="007B1598">
        <w:rPr>
          <w:rFonts w:hint="cs"/>
          <w:rtl/>
        </w:rPr>
        <w:t xml:space="preserve">בהצעת החוק מוצע לקבוע איסור על </w:t>
      </w:r>
      <w:r w:rsidRPr="007B1598">
        <w:rPr>
          <w:rFonts w:hint="cs"/>
          <w:rtl/>
        </w:rPr>
        <w:t>עוסק לפרסם או לנקוב מחיר של נכס או שירות אשר כולל שטר כסף או מעות שבוטלו</w:t>
      </w:r>
      <w:r w:rsidR="00370DA0" w:rsidRPr="007B1598">
        <w:rPr>
          <w:rFonts w:hint="cs"/>
          <w:rtl/>
        </w:rPr>
        <w:t>, ו</w:t>
      </w:r>
      <w:r w:rsidRPr="007B1598">
        <w:rPr>
          <w:rFonts w:hint="cs"/>
          <w:rtl/>
        </w:rPr>
        <w:t>לא ניתן לשלם באמצעותם. למען</w:t>
      </w:r>
      <w:r w:rsidR="00B84967" w:rsidRPr="007B1598">
        <w:rPr>
          <w:rFonts w:hint="cs"/>
          <w:rtl/>
        </w:rPr>
        <w:t xml:space="preserve"> </w:t>
      </w:r>
      <w:r w:rsidR="00B84967" w:rsidRPr="007B1598">
        <w:rPr>
          <w:rtl/>
        </w:rPr>
        <w:t xml:space="preserve">הסר ספק, במקום בו מדובר במוצר הנרכש על פי יחידת מידה (כגון קילוגרם, ליטר, וכו'), מחירו הסופי בקופה יכול להיות מחיר שמסתיים באגורות וזאת בהתאם לכמות הקנייה של הצרכן. </w:t>
      </w:r>
      <w:r w:rsidRPr="007B1598">
        <w:rPr>
          <w:rtl/>
        </w:rPr>
        <w:t xml:space="preserve">במקרה כזה, </w:t>
      </w:r>
      <w:r w:rsidR="00B84967" w:rsidRPr="007B1598">
        <w:rPr>
          <w:rtl/>
        </w:rPr>
        <w:t>בתשלום המבוצע במזומן, יחולו כללי העיגול.</w:t>
      </w:r>
      <w:r w:rsidR="00B84967" w:rsidRPr="007B1598">
        <w:rPr>
          <w:rFonts w:hint="cs"/>
          <w:rtl/>
        </w:rPr>
        <w:t xml:space="preserve"> </w:t>
      </w:r>
    </w:p>
    <w:p w14:paraId="70958DB4" w14:textId="52C1F38E" w:rsidR="00B84967" w:rsidRPr="007B1598" w:rsidRDefault="00B84967" w:rsidP="007B1598">
      <w:pPr>
        <w:pStyle w:val="Hesber"/>
        <w:rPr>
          <w:rtl/>
        </w:rPr>
      </w:pPr>
      <w:r w:rsidRPr="007B1598">
        <w:rPr>
          <w:rtl/>
        </w:rPr>
        <w:t>מטרת הצעת חוק זו להפסיק את ההטעיה ו</w:t>
      </w:r>
      <w:r w:rsidR="00370DA0" w:rsidRPr="007B1598">
        <w:rPr>
          <w:rFonts w:hint="cs"/>
          <w:rtl/>
        </w:rPr>
        <w:t xml:space="preserve">לחייב עוסקים </w:t>
      </w:r>
      <w:r w:rsidRPr="007B1598">
        <w:rPr>
          <w:rtl/>
        </w:rPr>
        <w:t>לנקוב מחירים שניתן לשלם</w:t>
      </w:r>
      <w:r w:rsidR="00D069E7" w:rsidRPr="007B1598">
        <w:rPr>
          <w:rFonts w:hint="cs"/>
          <w:rtl/>
        </w:rPr>
        <w:t xml:space="preserve"> אותם</w:t>
      </w:r>
      <w:r w:rsidRPr="007B1598">
        <w:rPr>
          <w:rtl/>
        </w:rPr>
        <w:t xml:space="preserve"> במלואם, ללא עודף, בשטרות ובמעות שבשימוש. </w:t>
      </w:r>
      <w:r w:rsidR="00D069E7" w:rsidRPr="007B1598">
        <w:rPr>
          <w:rFonts w:hint="cs"/>
          <w:rtl/>
        </w:rPr>
        <w:t xml:space="preserve">בכך, הצעת החוק מעגנת את </w:t>
      </w:r>
      <w:r w:rsidR="00370DA0" w:rsidRPr="007B1598">
        <w:rPr>
          <w:rFonts w:hint="cs"/>
          <w:rtl/>
        </w:rPr>
        <w:t>הוראות</w:t>
      </w:r>
      <w:r w:rsidR="00D069E7" w:rsidRPr="007B1598">
        <w:rPr>
          <w:rFonts w:hint="cs"/>
          <w:rtl/>
        </w:rPr>
        <w:t xml:space="preserve"> הממונה על הרשות להגנת הצרכן ולסחר הוגן.</w:t>
      </w:r>
    </w:p>
    <w:p w14:paraId="7C5CC45E" w14:textId="77777777" w:rsidR="00370DA0" w:rsidRPr="007B1598" w:rsidRDefault="00B84967" w:rsidP="007B1598">
      <w:pPr>
        <w:pStyle w:val="Hesber"/>
        <w:rPr>
          <w:rtl/>
        </w:rPr>
      </w:pPr>
      <w:r w:rsidRPr="007B1598">
        <w:rPr>
          <w:rtl/>
        </w:rPr>
        <w:t xml:space="preserve">הצעות חוק דומות בעיקרן הונחו על שולחן הכנסת השש-עשרה על ידי חבר הכנסת אהוד </w:t>
      </w:r>
      <w:proofErr w:type="spellStart"/>
      <w:r w:rsidRPr="007B1598">
        <w:rPr>
          <w:rtl/>
        </w:rPr>
        <w:t>רצאבי</w:t>
      </w:r>
      <w:proofErr w:type="spellEnd"/>
      <w:r w:rsidRPr="007B1598">
        <w:rPr>
          <w:rtl/>
        </w:rPr>
        <w:t xml:space="preserve"> וקבוצת חברי הכנסת (פ/407) ועל ידי חבר הכנסת אריה אלדד (פ/2248)</w:t>
      </w:r>
      <w:r w:rsidR="00370DA0" w:rsidRPr="007B1598">
        <w:rPr>
          <w:rFonts w:hint="cs"/>
          <w:rtl/>
        </w:rPr>
        <w:t>.</w:t>
      </w:r>
      <w:r w:rsidR="00D069E7" w:rsidRPr="007B1598">
        <w:rPr>
          <w:rFonts w:hint="cs"/>
          <w:rtl/>
        </w:rPr>
        <w:t xml:space="preserve"> </w:t>
      </w:r>
    </w:p>
    <w:p w14:paraId="346A215C" w14:textId="0582E08E" w:rsidR="00B84967" w:rsidRPr="007B1598" w:rsidRDefault="00370DA0" w:rsidP="007B1598">
      <w:pPr>
        <w:pStyle w:val="Hesber"/>
        <w:rPr>
          <w:rtl/>
        </w:rPr>
      </w:pPr>
      <w:r w:rsidRPr="007B1598">
        <w:rPr>
          <w:rFonts w:hint="cs"/>
          <w:rtl/>
        </w:rPr>
        <w:t xml:space="preserve">הצעות חוק זהות הונחו </w:t>
      </w:r>
      <w:r w:rsidR="00D069E7" w:rsidRPr="007B1598">
        <w:rPr>
          <w:rFonts w:hint="cs"/>
          <w:rtl/>
        </w:rPr>
        <w:t>על שולחן הכנסת השבע-עשרה על ידי חבר הכנסת אבשלום וילן (פ/2994/17) ועל ידי חברת הכנסת אורית נוקד (פ/2834/17), על שולחן הכנסת השמונה-עשרה על ידי חברת הכנסת ציפי חוטובלי וקבוצת חברי הכנסת (פ/3614/18) ועל ידי חברת הכנסת רונית תירוש (פ/4528/18) ועל שולחן הכנסת התשע-עשרה על ידי חבר הכנסת אמנון כהן (פ/1064/19).</w:t>
      </w:r>
    </w:p>
    <w:p w14:paraId="4F59B55F" w14:textId="77777777" w:rsidR="007B1598" w:rsidRPr="00D73212" w:rsidRDefault="007B1598" w:rsidP="0037425A">
      <w:pPr>
        <w:pStyle w:val="Hesber"/>
        <w:spacing w:line="240" w:lineRule="auto"/>
        <w:rPr>
          <w:color w:val="auto"/>
          <w:rtl/>
          <w:lang w:eastAsia="en-US"/>
        </w:rPr>
      </w:pPr>
      <w:r w:rsidRPr="00D73212">
        <w:rPr>
          <w:color w:val="auto"/>
          <w:rtl/>
          <w:lang w:eastAsia="en-US"/>
        </w:rPr>
        <w:t>---------------------------------</w:t>
      </w:r>
    </w:p>
    <w:p w14:paraId="3F8FCF8F" w14:textId="77777777" w:rsidR="007B1598" w:rsidRPr="00D73212" w:rsidRDefault="007B1598" w:rsidP="0037425A">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B1A76D2" w14:textId="77777777" w:rsidR="007B1598" w:rsidRPr="00D73212" w:rsidRDefault="007B1598" w:rsidP="0037425A">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4132E2C7" w:rsidR="00E13C27" w:rsidRPr="007B1598" w:rsidRDefault="007B1598" w:rsidP="0037425A">
      <w:pPr>
        <w:pStyle w:val="Hesber"/>
        <w:spacing w:line="240" w:lineRule="auto"/>
        <w:rPr>
          <w:rtl/>
        </w:rPr>
      </w:pPr>
      <w:r>
        <w:rPr>
          <w:rFonts w:hint="cs"/>
          <w:color w:val="auto"/>
          <w:rtl/>
          <w:lang w:eastAsia="en-US"/>
        </w:rPr>
        <w:t>כ"ב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sectPr w:rsidR="00E13C27" w:rsidRPr="007B159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0FDEC" w14:textId="77777777" w:rsidR="00C27455" w:rsidRDefault="00C27455">
      <w:r>
        <w:separator/>
      </w:r>
    </w:p>
  </w:endnote>
  <w:endnote w:type="continuationSeparator" w:id="0">
    <w:p w14:paraId="02E7A9B4" w14:textId="77777777" w:rsidR="00C27455" w:rsidRDefault="00C27455">
      <w:r>
        <w:continuationSeparator/>
      </w:r>
    </w:p>
  </w:endnote>
  <w:endnote w:type="continuationNotice" w:id="1">
    <w:p w14:paraId="44FBA9FA" w14:textId="77777777" w:rsidR="00C27455" w:rsidRDefault="00C2745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2115D">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0744A" w14:textId="77777777" w:rsidR="00C27455" w:rsidRDefault="00C27455">
      <w:r>
        <w:separator/>
      </w:r>
    </w:p>
  </w:footnote>
  <w:footnote w:type="continuationSeparator" w:id="0">
    <w:p w14:paraId="6908D61E" w14:textId="77777777" w:rsidR="00C27455" w:rsidRDefault="00C27455">
      <w:r>
        <w:continuationSeparator/>
      </w:r>
    </w:p>
  </w:footnote>
  <w:footnote w:type="continuationNotice" w:id="1">
    <w:p w14:paraId="313F5F9A" w14:textId="77777777" w:rsidR="00C27455" w:rsidRDefault="00C27455"/>
  </w:footnote>
  <w:footnote w:id="2">
    <w:p w14:paraId="556D527E" w14:textId="6D7EEC3C" w:rsidR="0030005D" w:rsidRDefault="0030005D">
      <w:pPr>
        <w:pStyle w:val="a4"/>
        <w:rPr>
          <w:rtl/>
        </w:rPr>
      </w:pPr>
      <w:r>
        <w:rPr>
          <w:rStyle w:val="a6"/>
        </w:rPr>
        <w:footnoteRef/>
      </w:r>
      <w:r>
        <w:rPr>
          <w:rtl/>
        </w:rPr>
        <w:t xml:space="preserve"> </w:t>
      </w:r>
      <w:r>
        <w:rPr>
          <w:rFonts w:hint="cs"/>
          <w:sz w:val="20"/>
          <w:rtl/>
        </w:rPr>
        <w:t xml:space="preserve">  </w:t>
      </w:r>
      <w:r>
        <w:rPr>
          <w:sz w:val="20"/>
          <w:rtl/>
        </w:rPr>
        <w:t xml:space="preserve">ס"ח </w:t>
      </w:r>
      <w:proofErr w:type="spellStart"/>
      <w:r>
        <w:rPr>
          <w:sz w:val="20"/>
          <w:rtl/>
        </w:rPr>
        <w:t>התשמ"א</w:t>
      </w:r>
      <w:proofErr w:type="spellEnd"/>
      <w:r>
        <w:rPr>
          <w:sz w:val="20"/>
          <w:rtl/>
        </w:rPr>
        <w:t>, עמ' 248.</w:t>
      </w:r>
    </w:p>
  </w:footnote>
  <w:footnote w:id="3">
    <w:p w14:paraId="7685517A" w14:textId="77777777" w:rsidR="00B84967" w:rsidRDefault="00B84967" w:rsidP="00B57EDC">
      <w:pPr>
        <w:pStyle w:val="a4"/>
      </w:pPr>
      <w:r>
        <w:rPr>
          <w:rStyle w:val="a6"/>
        </w:rPr>
        <w:footnoteRef/>
      </w:r>
      <w:r>
        <w:rPr>
          <w:sz w:val="20"/>
          <w:rtl/>
        </w:rPr>
        <w:t xml:space="preserve"> </w:t>
      </w:r>
      <w:r>
        <w:rPr>
          <w:rFonts w:hint="cs"/>
          <w:sz w:val="20"/>
          <w:rtl/>
        </w:rPr>
        <w:tab/>
      </w:r>
      <w:r>
        <w:rPr>
          <w:sz w:val="20"/>
          <w:rtl/>
        </w:rPr>
        <w:t xml:space="preserve">ס"ח </w:t>
      </w:r>
      <w:proofErr w:type="spellStart"/>
      <w:r>
        <w:rPr>
          <w:sz w:val="20"/>
          <w:rtl/>
        </w:rPr>
        <w:t>התשמ"ה</w:t>
      </w:r>
      <w:proofErr w:type="spellEnd"/>
      <w:r>
        <w:rPr>
          <w:sz w:val="20"/>
          <w:rtl/>
        </w:rPr>
        <w:t>, עמ' 216.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C6377"/>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0005D"/>
    <w:rsid w:val="003232A2"/>
    <w:rsid w:val="00325C14"/>
    <w:rsid w:val="0036422C"/>
    <w:rsid w:val="00370DA0"/>
    <w:rsid w:val="003710F6"/>
    <w:rsid w:val="0037425A"/>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5570E"/>
    <w:rsid w:val="00763CAA"/>
    <w:rsid w:val="00765F66"/>
    <w:rsid w:val="0078664F"/>
    <w:rsid w:val="007B0F5D"/>
    <w:rsid w:val="007B1598"/>
    <w:rsid w:val="007C3FA6"/>
    <w:rsid w:val="007D585A"/>
    <w:rsid w:val="007D5A12"/>
    <w:rsid w:val="007E59F9"/>
    <w:rsid w:val="00810BCD"/>
    <w:rsid w:val="00812C98"/>
    <w:rsid w:val="00814D92"/>
    <w:rsid w:val="0082115D"/>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35004"/>
    <w:rsid w:val="00A443CF"/>
    <w:rsid w:val="00A6611D"/>
    <w:rsid w:val="00A82CB7"/>
    <w:rsid w:val="00A942C1"/>
    <w:rsid w:val="00AA2F03"/>
    <w:rsid w:val="00AC36F7"/>
    <w:rsid w:val="00AC63A4"/>
    <w:rsid w:val="00AD239E"/>
    <w:rsid w:val="00B10265"/>
    <w:rsid w:val="00B16A99"/>
    <w:rsid w:val="00B21211"/>
    <w:rsid w:val="00B35784"/>
    <w:rsid w:val="00B6023E"/>
    <w:rsid w:val="00B733A7"/>
    <w:rsid w:val="00B75C91"/>
    <w:rsid w:val="00B84967"/>
    <w:rsid w:val="00B975AD"/>
    <w:rsid w:val="00BC45FB"/>
    <w:rsid w:val="00BF148D"/>
    <w:rsid w:val="00C23B1A"/>
    <w:rsid w:val="00C23E32"/>
    <w:rsid w:val="00C27455"/>
    <w:rsid w:val="00C310EB"/>
    <w:rsid w:val="00C9176A"/>
    <w:rsid w:val="00CF1AA2"/>
    <w:rsid w:val="00D069E7"/>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0E4C"/>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889C3BF-1A27-4001-9D8B-4D69DA6FD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locked/>
    <w:rsid w:val="00B8496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7BD29907-7697-47FE-B541-24759A2CF365}"/>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6A2968-DE6B-476E-8063-CF40C309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604</Words>
  <Characters>3022</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2016-01-28T07:54:00Z</cp:lastPrinted>
  <dcterms:created xsi:type="dcterms:W3CDTF">2018-01-23T15:39:00Z</dcterms:created>
  <dcterms:modified xsi:type="dcterms:W3CDTF">2018-01-23T15:39:00Z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2064385</vt:r8>
  </property>
</Properties>
</file>