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570024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34DB4103" w14:textId="5F503852" w:rsidR="00904591" w:rsidRPr="00904591" w:rsidRDefault="008F6665" w:rsidP="009730AA">
      <w:pPr>
        <w:pStyle w:val="David"/>
        <w:spacing w:line="276" w:lineRule="auto"/>
        <w:ind w:left="3544"/>
        <w:rPr>
          <w:sz w:val="4"/>
          <w:szCs w:val="4"/>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מיכל בירן</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אראל מרגלית</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באסל גטאס</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יוסף ג'בארין</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נאוה בוקר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r w:rsidR="00266D86">
        <w:t>___</w:t>
      </w:r>
      <w:r w:rsidR="00E374F2">
        <w:t>__</w:t>
      </w:r>
      <w:r w:rsidR="00266D86">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28A3DA23" w:rsidR="00E13C27" w:rsidRDefault="00904591" w:rsidP="00B65E25">
      <w:pPr>
        <w:pStyle w:val="David"/>
        <w:spacing w:before="0" w:line="240" w:lineRule="auto"/>
        <w:ind w:left="3544"/>
        <w:rPr>
          <w:rtl/>
        </w:rPr>
      </w:pPr>
      <w:r>
        <w:t xml:space="preserve">                                            </w:t>
      </w:r>
      <w:r w:rsidR="008F1308">
        <w:t xml:space="preserve"> </w:t>
      </w:r>
      <w:bookmarkStart w:id="7" w:name="Private_Number"/>
      <w:r>
        <w:rPr>
          <w:rFonts w:hint="cs"/>
          <w:rtl/>
        </w:rPr>
        <w:t>פ/2442/20</w:t>
      </w:r>
      <w:bookmarkEnd w:id="7"/>
    </w:p>
    <w:p w14:paraId="7F6961AD" w14:textId="17908326" w:rsidR="00E13C27" w:rsidRPr="00F67051" w:rsidRDefault="00A443CF" w:rsidP="00214838">
      <w:pPr>
        <w:pStyle w:val="HeadHatzaotHok"/>
        <w:rPr>
          <w:rtl/>
        </w:rPr>
      </w:pPr>
      <w:bookmarkStart w:id="8" w:name="LGS_Subject"/>
      <w:r>
        <w:rPr>
          <w:rFonts w:hint="cs"/>
          <w:rtl/>
        </w:rPr>
        <w:t>הצעת חוק הפיקוח על שירותים פיננסיים (קופות גמל) (תיקון – הגבלת דמי ניהול בקרנות הפנסיה), התשע"ו–201</w:t>
      </w:r>
      <w:bookmarkEnd w:id="8"/>
      <w:r w:rsidR="00214838">
        <w:rPr>
          <w:rFonts w:hint="cs"/>
          <w:rtl/>
        </w:rPr>
        <w:t>6</w:t>
      </w:r>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F1D80" w14:paraId="035EEF3D" w14:textId="77777777" w:rsidTr="002C3041">
        <w:trPr>
          <w:cantSplit/>
          <w:trHeight w:val="60"/>
        </w:trPr>
        <w:tc>
          <w:tcPr>
            <w:tcW w:w="1871" w:type="dxa"/>
          </w:tcPr>
          <w:p w14:paraId="3863FF98" w14:textId="0502A580" w:rsidR="002F1D80" w:rsidRDefault="006128FF" w:rsidP="002C3041">
            <w:pPr>
              <w:pStyle w:val="TableSideHeading"/>
              <w:keepLines w:val="0"/>
            </w:pPr>
            <w:r>
              <w:rPr>
                <w:sz w:val="26"/>
                <w:rtl/>
              </w:rPr>
              <w:t>תיקון סעיף 32</w:t>
            </w:r>
          </w:p>
        </w:tc>
        <w:tc>
          <w:tcPr>
            <w:tcW w:w="624" w:type="dxa"/>
          </w:tcPr>
          <w:p w14:paraId="6F513EF6" w14:textId="30024266" w:rsidR="002F1D80" w:rsidRDefault="006128FF" w:rsidP="002C3041">
            <w:pPr>
              <w:pStyle w:val="TableText"/>
              <w:keepLines w:val="0"/>
            </w:pPr>
            <w:r>
              <w:rPr>
                <w:sz w:val="26"/>
                <w:rtl/>
              </w:rPr>
              <w:t>1.</w:t>
            </w:r>
          </w:p>
        </w:tc>
        <w:tc>
          <w:tcPr>
            <w:tcW w:w="7146" w:type="dxa"/>
          </w:tcPr>
          <w:p w14:paraId="1AE94DEB" w14:textId="5402681C" w:rsidR="002F1D80" w:rsidRPr="006128FF" w:rsidRDefault="006128FF" w:rsidP="00CE336A">
            <w:pPr>
              <w:pStyle w:val="TableHead"/>
              <w:keepLines w:val="0"/>
              <w:jc w:val="both"/>
              <w:rPr>
                <w:b w:val="0"/>
                <w:bCs w:val="0"/>
              </w:rPr>
            </w:pPr>
            <w:r w:rsidRPr="006128FF">
              <w:rPr>
                <w:b w:val="0"/>
                <w:bCs w:val="0"/>
                <w:sz w:val="26"/>
                <w:rtl/>
              </w:rPr>
              <w:t>בחוק הפיקוח על שירותים פיננסיים (קופות גמל), התשס"ה–2005</w:t>
            </w:r>
            <w:r w:rsidR="00122CDB">
              <w:rPr>
                <w:rStyle w:val="a6"/>
                <w:b w:val="0"/>
                <w:bCs w:val="0"/>
                <w:sz w:val="26"/>
                <w:rtl/>
              </w:rPr>
              <w:footnoteReference w:id="2"/>
            </w:r>
            <w:r w:rsidRPr="006128FF">
              <w:rPr>
                <w:b w:val="0"/>
                <w:bCs w:val="0"/>
                <w:sz w:val="26"/>
                <w:rtl/>
              </w:rPr>
              <w:t>,</w:t>
            </w:r>
            <w:r w:rsidRPr="006128FF">
              <w:rPr>
                <w:rFonts w:hint="cs"/>
                <w:b w:val="0"/>
                <w:bCs w:val="0"/>
                <w:sz w:val="26"/>
                <w:rtl/>
              </w:rPr>
              <w:t xml:space="preserve"> בסעיף</w:t>
            </w:r>
            <w:r w:rsidRPr="006128FF">
              <w:rPr>
                <w:b w:val="0"/>
                <w:bCs w:val="0"/>
                <w:sz w:val="26"/>
                <w:rtl/>
              </w:rPr>
              <w:t xml:space="preserve"> 32(</w:t>
            </w:r>
            <w:r w:rsidRPr="006128FF">
              <w:rPr>
                <w:rFonts w:hint="cs"/>
                <w:b w:val="0"/>
                <w:bCs w:val="0"/>
                <w:sz w:val="26"/>
                <w:rtl/>
              </w:rPr>
              <w:t>ב</w:t>
            </w:r>
            <w:r w:rsidRPr="006128FF">
              <w:rPr>
                <w:b w:val="0"/>
                <w:bCs w:val="0"/>
                <w:sz w:val="26"/>
                <w:rtl/>
              </w:rPr>
              <w:t xml:space="preserve">), </w:t>
            </w:r>
            <w:r w:rsidRPr="006128FF">
              <w:rPr>
                <w:rFonts w:hint="cs"/>
                <w:b w:val="0"/>
                <w:bCs w:val="0"/>
                <w:sz w:val="26"/>
                <w:rtl/>
              </w:rPr>
              <w:t>בסופו</w:t>
            </w:r>
            <w:r w:rsidRPr="006128FF">
              <w:rPr>
                <w:b w:val="0"/>
                <w:bCs w:val="0"/>
                <w:sz w:val="26"/>
                <w:rtl/>
              </w:rPr>
              <w:t xml:space="preserve"> </w:t>
            </w:r>
            <w:r w:rsidRPr="006128FF">
              <w:rPr>
                <w:rFonts w:hint="cs"/>
                <w:b w:val="0"/>
                <w:bCs w:val="0"/>
                <w:sz w:val="26"/>
                <w:rtl/>
              </w:rPr>
              <w:t>יבוא</w:t>
            </w:r>
            <w:r w:rsidR="00677FB9" w:rsidRPr="00CE336A">
              <w:rPr>
                <w:rFonts w:hint="cs"/>
                <w:b w:val="0"/>
                <w:bCs w:val="0"/>
                <w:rtl/>
              </w:rPr>
              <w:t xml:space="preserve"> </w:t>
            </w:r>
            <w:r w:rsidR="00CE336A" w:rsidRPr="00CE336A">
              <w:rPr>
                <w:b w:val="0"/>
                <w:bCs w:val="0"/>
                <w:sz w:val="26"/>
                <w:rtl/>
              </w:rPr>
              <w:t>"</w:t>
            </w:r>
            <w:r w:rsidR="00CE336A" w:rsidRPr="00CE336A">
              <w:rPr>
                <w:rFonts w:hint="cs"/>
                <w:b w:val="0"/>
                <w:bCs w:val="0"/>
                <w:sz w:val="26"/>
                <w:rtl/>
              </w:rPr>
              <w:t>ובלבד</w:t>
            </w:r>
            <w:r w:rsidR="00CE336A" w:rsidRPr="00CE336A">
              <w:rPr>
                <w:b w:val="0"/>
                <w:bCs w:val="0"/>
                <w:sz w:val="26"/>
                <w:rtl/>
              </w:rPr>
              <w:t xml:space="preserve"> </w:t>
            </w:r>
            <w:r w:rsidR="00CE336A" w:rsidRPr="00CE336A">
              <w:rPr>
                <w:rFonts w:hint="cs"/>
                <w:b w:val="0"/>
                <w:bCs w:val="0"/>
                <w:sz w:val="26"/>
                <w:rtl/>
              </w:rPr>
              <w:t>שההוצאות ודמי</w:t>
            </w:r>
            <w:r w:rsidR="00CE336A" w:rsidRPr="00CE336A">
              <w:rPr>
                <w:b w:val="0"/>
                <w:bCs w:val="0"/>
                <w:sz w:val="26"/>
                <w:rtl/>
              </w:rPr>
              <w:t xml:space="preserve"> </w:t>
            </w:r>
            <w:r w:rsidR="00CE336A" w:rsidRPr="00CE336A">
              <w:rPr>
                <w:rFonts w:hint="cs"/>
                <w:b w:val="0"/>
                <w:bCs w:val="0"/>
                <w:sz w:val="26"/>
                <w:rtl/>
              </w:rPr>
              <w:t>הניהול</w:t>
            </w:r>
            <w:r w:rsidR="00CE336A" w:rsidRPr="00CE336A">
              <w:rPr>
                <w:b w:val="0"/>
                <w:bCs w:val="0"/>
                <w:sz w:val="26"/>
                <w:rtl/>
              </w:rPr>
              <w:t xml:space="preserve"> </w:t>
            </w:r>
            <w:r w:rsidR="00CE336A" w:rsidRPr="00CE336A">
              <w:rPr>
                <w:rFonts w:hint="cs"/>
                <w:b w:val="0"/>
                <w:bCs w:val="0"/>
                <w:color w:val="auto"/>
                <w:sz w:val="26"/>
                <w:rtl/>
              </w:rPr>
              <w:t>בקרן חדשה מקיפה,</w:t>
            </w:r>
            <w:r w:rsidR="00CE336A" w:rsidRPr="00CE336A">
              <w:rPr>
                <w:b w:val="0"/>
                <w:bCs w:val="0"/>
                <w:color w:val="auto"/>
                <w:sz w:val="26"/>
                <w:rtl/>
              </w:rPr>
              <w:t xml:space="preserve"> </w:t>
            </w:r>
            <w:r w:rsidR="00CE336A" w:rsidRPr="00CE336A">
              <w:rPr>
                <w:rFonts w:hint="cs"/>
                <w:b w:val="0"/>
                <w:bCs w:val="0"/>
                <w:sz w:val="26"/>
                <w:rtl/>
              </w:rPr>
              <w:t>לא</w:t>
            </w:r>
            <w:r w:rsidR="00CE336A" w:rsidRPr="00CE336A">
              <w:rPr>
                <w:b w:val="0"/>
                <w:bCs w:val="0"/>
                <w:sz w:val="26"/>
                <w:rtl/>
              </w:rPr>
              <w:t xml:space="preserve"> </w:t>
            </w:r>
            <w:r w:rsidR="00CE336A" w:rsidRPr="00CE336A">
              <w:rPr>
                <w:rFonts w:hint="cs"/>
                <w:b w:val="0"/>
                <w:bCs w:val="0"/>
                <w:sz w:val="26"/>
                <w:rtl/>
              </w:rPr>
              <w:t>יעלו</w:t>
            </w:r>
            <w:r w:rsidR="00CE336A" w:rsidRPr="00CE336A">
              <w:rPr>
                <w:b w:val="0"/>
                <w:bCs w:val="0"/>
                <w:sz w:val="26"/>
                <w:rtl/>
              </w:rPr>
              <w:t xml:space="preserve"> </w:t>
            </w:r>
            <w:r w:rsidR="00CE336A" w:rsidRPr="00CE336A">
              <w:rPr>
                <w:rFonts w:hint="cs"/>
                <w:b w:val="0"/>
                <w:bCs w:val="0"/>
                <w:sz w:val="26"/>
                <w:rtl/>
              </w:rPr>
              <w:t xml:space="preserve">על שיעור של 3% מתוך התשלומים המועברים לקרן בשל כל עמית ולא יעלו על שיעור של 0.25% מן היתרה הצבורה בחשבונו של כל עמית, ולעניין מקבלי קצבה </w:t>
            </w:r>
            <w:r w:rsidR="00CE336A" w:rsidRPr="00CE336A">
              <w:rPr>
                <w:b w:val="0"/>
                <w:bCs w:val="0"/>
                <w:sz w:val="26"/>
                <w:rtl/>
              </w:rPr>
              <w:t>–</w:t>
            </w:r>
            <w:r w:rsidR="00CE336A" w:rsidRPr="00CE336A">
              <w:rPr>
                <w:rFonts w:hint="cs"/>
                <w:b w:val="0"/>
                <w:bCs w:val="0"/>
                <w:sz w:val="26"/>
                <w:rtl/>
              </w:rPr>
              <w:t xml:space="preserve"> מתוך סך כל הנכסים העומדים כנגד התחייבות הקרן לכלל מקבלי הקצבה, למעט נכסים העומדים כנגד התחייבויות הקרן למי שהיה זכאי לקבל קצבה או קצבת נכות לפני יום </w:t>
            </w:r>
            <w:r w:rsidR="00CE336A">
              <w:rPr>
                <w:rFonts w:hint="cs"/>
                <w:b w:val="0"/>
                <w:bCs w:val="0"/>
                <w:sz w:val="26"/>
                <w:rtl/>
              </w:rPr>
              <w:t>כ"ט בטבת התשס"ד (1 בינואר 2004)</w:t>
            </w:r>
            <w:r w:rsidR="00CE336A" w:rsidRPr="00CE336A">
              <w:rPr>
                <w:b w:val="0"/>
                <w:bCs w:val="0"/>
                <w:sz w:val="26"/>
                <w:rtl/>
              </w:rPr>
              <w:t>"</w:t>
            </w:r>
            <w:r w:rsidR="00CE336A">
              <w:rPr>
                <w:rFonts w:hint="cs"/>
                <w:b w:val="0"/>
                <w:bCs w:val="0"/>
                <w:sz w:val="26"/>
                <w:rtl/>
              </w:rPr>
              <w:t>.</w:t>
            </w:r>
          </w:p>
        </w:tc>
      </w:tr>
    </w:tbl>
    <w:p w14:paraId="055573DF" w14:textId="26952FE2" w:rsidR="006128FF" w:rsidRDefault="002D1EE3" w:rsidP="006128FF">
      <w:pPr>
        <w:pStyle w:val="HeadDivreiHesber"/>
        <w:rPr>
          <w:rtl/>
        </w:rPr>
      </w:pPr>
      <w:r w:rsidRPr="0027450A">
        <w:rPr>
          <w:rFonts w:hint="cs"/>
          <w:rtl/>
        </w:rPr>
        <w:lastRenderedPageBreak/>
        <w:t>דברי הסבר</w:t>
      </w:r>
    </w:p>
    <w:p w14:paraId="34224B8F" w14:textId="2CBA52AE" w:rsidR="006128FF" w:rsidRDefault="006128FF" w:rsidP="000F212C">
      <w:pPr>
        <w:pStyle w:val="Hesber"/>
        <w:rPr>
          <w:rtl/>
        </w:rPr>
      </w:pPr>
      <w:r>
        <w:rPr>
          <w:rFonts w:hint="cs"/>
          <w:rtl/>
        </w:rPr>
        <w:t>החוסכים באפיקי החיסכון הפנסיוני נדרשים לשלם דמי ניהול לחברה המנהלת על ניהול הנכסים שבידיה בשנות החיסכון. דמי ניהול נגבים הן מהסכומים המופקדים לחיסכון מדי חודש והן מהסכום הנצבר לטובת כל חוסך. גובה דמי הניהול תלוי בסוג החיסכון, והסכומים המרביים מעוגנים בח</w:t>
      </w:r>
      <w:r w:rsidR="00096E58">
        <w:rPr>
          <w:rFonts w:hint="cs"/>
          <w:rtl/>
        </w:rPr>
        <w:t>וק הפיקוח על שירותים פיננסיים (קופות גמל), התשס"ה</w:t>
      </w:r>
      <w:r w:rsidR="00096E58">
        <w:rPr>
          <w:rFonts w:hint="eastAsia"/>
          <w:rtl/>
        </w:rPr>
        <w:t>–</w:t>
      </w:r>
      <w:r w:rsidR="00096E58">
        <w:rPr>
          <w:rFonts w:hint="cs"/>
          <w:rtl/>
        </w:rPr>
        <w:t>2005</w:t>
      </w:r>
      <w:r w:rsidR="000F212C">
        <w:rPr>
          <w:rFonts w:hint="cs"/>
          <w:rtl/>
        </w:rPr>
        <w:t xml:space="preserve"> ובתקנות, ו</w:t>
      </w:r>
      <w:r w:rsidR="00096E58">
        <w:rPr>
          <w:rFonts w:hint="cs"/>
          <w:rtl/>
        </w:rPr>
        <w:t>לפיהם</w:t>
      </w:r>
      <w:r>
        <w:rPr>
          <w:rFonts w:hint="cs"/>
          <w:rtl/>
        </w:rPr>
        <w:t xml:space="preserve"> דמי הניהול המרביים הנגבים בקרנות הפנסיה הם 6% מההפ</w:t>
      </w:r>
      <w:r w:rsidR="000F212C">
        <w:rPr>
          <w:rFonts w:hint="cs"/>
          <w:rtl/>
        </w:rPr>
        <w:t>רשות, ו</w:t>
      </w:r>
      <w:r w:rsidR="000F212C">
        <w:rPr>
          <w:rFonts w:hint="eastAsia"/>
          <w:rtl/>
        </w:rPr>
        <w:t>–</w:t>
      </w:r>
      <w:r w:rsidR="00096E58">
        <w:rPr>
          <w:rFonts w:hint="cs"/>
          <w:rtl/>
        </w:rPr>
        <w:t xml:space="preserve"> </w:t>
      </w:r>
      <w:r>
        <w:rPr>
          <w:rFonts w:hint="cs"/>
          <w:rtl/>
        </w:rPr>
        <w:t xml:space="preserve">0.5% מהסכום הנצבר. הצעת חוק זו מבקשת לקבוע  שדמי </w:t>
      </w:r>
      <w:r w:rsidR="000F212C">
        <w:rPr>
          <w:rFonts w:hint="cs"/>
          <w:rtl/>
        </w:rPr>
        <w:t>הניהול המרביים מהפרשות יעמדו על 3%</w:t>
      </w:r>
      <w:r>
        <w:rPr>
          <w:rFonts w:hint="cs"/>
          <w:rtl/>
        </w:rPr>
        <w:t xml:space="preserve"> ו</w:t>
      </w:r>
      <w:r w:rsidR="000F212C">
        <w:rPr>
          <w:rFonts w:hint="eastAsia"/>
          <w:rtl/>
        </w:rPr>
        <w:t>–</w:t>
      </w:r>
      <w:r w:rsidR="000F212C">
        <w:rPr>
          <w:rFonts w:hint="cs"/>
          <w:rtl/>
        </w:rPr>
        <w:t xml:space="preserve"> </w:t>
      </w:r>
      <w:r>
        <w:rPr>
          <w:rFonts w:hint="cs"/>
          <w:rtl/>
        </w:rPr>
        <w:t>0.25% מהסכום הנצבר.</w:t>
      </w:r>
    </w:p>
    <w:p w14:paraId="23E9BBEF" w14:textId="1A353F66" w:rsidR="006128FF" w:rsidRDefault="000F212C" w:rsidP="008A3C7C">
      <w:pPr>
        <w:pStyle w:val="Hesber"/>
        <w:rPr>
          <w:rtl/>
        </w:rPr>
      </w:pPr>
      <w:r>
        <w:rPr>
          <w:rFonts w:hint="cs"/>
          <w:rtl/>
        </w:rPr>
        <w:t xml:space="preserve">טענה רווחת </w:t>
      </w:r>
      <w:r w:rsidR="006128FF">
        <w:rPr>
          <w:rFonts w:hint="cs"/>
          <w:rtl/>
        </w:rPr>
        <w:t>נגד הגבלת דמי הניהול גורסת שבעלי שכר נמוך לא מייצרים תמריץ כלכלי מספיק לקרנות הפנסיה כדי לקבל אותם כלקוחות, ואף שדמי הניהול הנגבים בעבור לקוחות אלה לא מכסים את ההו</w:t>
      </w:r>
      <w:r w:rsidR="00096E58">
        <w:rPr>
          <w:rFonts w:hint="cs"/>
          <w:rtl/>
        </w:rPr>
        <w:t>צאות על השירותים הניתנים להם, ולפיכך מוצדק לגבות ממי שמשתכר שכר נמוך דמי ניהול גבוהים.</w:t>
      </w:r>
    </w:p>
    <w:p w14:paraId="4386DA2C" w14:textId="2234179B" w:rsidR="005C3EA0" w:rsidRDefault="006128FF" w:rsidP="000F212C">
      <w:pPr>
        <w:pStyle w:val="Hesber"/>
        <w:rPr>
          <w:rtl/>
        </w:rPr>
      </w:pPr>
      <w:r>
        <w:rPr>
          <w:rFonts w:hint="cs"/>
          <w:rtl/>
        </w:rPr>
        <w:t xml:space="preserve">לפי דוח מרכז המחקר והמידע של הכנסת ממוצע הטיפול האישי בלקוח בגופי החיסכון הפיננסי מסתכם בכשלוש עד ארבע שעות עבודה בשנה, כלומר מדובר בהוצאה שנתית של כ-300 </w:t>
      </w:r>
      <w:r w:rsidR="000F212C">
        <w:rPr>
          <w:rFonts w:hint="cs"/>
          <w:rtl/>
        </w:rPr>
        <w:t>שקלים חדשים</w:t>
      </w:r>
      <w:r>
        <w:rPr>
          <w:rFonts w:hint="cs"/>
          <w:rtl/>
        </w:rPr>
        <w:t xml:space="preserve"> בשנה. דמי הניהול צריכים לפחות לכסות עלות זו </w:t>
      </w:r>
      <w:r w:rsidR="00096E58">
        <w:rPr>
          <w:rFonts w:hint="cs"/>
          <w:rtl/>
        </w:rPr>
        <w:t>כדי</w:t>
      </w:r>
      <w:r>
        <w:rPr>
          <w:rFonts w:hint="cs"/>
          <w:rtl/>
        </w:rPr>
        <w:t xml:space="preserve"> שהחברות יהיו מוכנות לקבל מבוטח כלקוח. </w:t>
      </w:r>
      <w:r>
        <w:rPr>
          <w:rtl/>
        </w:rPr>
        <w:br/>
      </w:r>
      <w:r w:rsidR="00096E58">
        <w:rPr>
          <w:rFonts w:hint="cs"/>
          <w:rtl/>
        </w:rPr>
        <w:t>תקרת</w:t>
      </w:r>
      <w:r>
        <w:rPr>
          <w:rFonts w:hint="cs"/>
          <w:rtl/>
        </w:rPr>
        <w:t xml:space="preserve"> דמי הניהול מההפרשות החודשיות לקרן בעבור עובד שהצעה זו מבקשת לקבוע עומד על 3%. עובד המרוויח שכר מינימום (4650 </w:t>
      </w:r>
      <w:r w:rsidR="000F212C">
        <w:rPr>
          <w:rFonts w:hint="cs"/>
          <w:rtl/>
        </w:rPr>
        <w:t>שקלים חדשים</w:t>
      </w:r>
      <w:r>
        <w:rPr>
          <w:rFonts w:hint="cs"/>
          <w:rtl/>
        </w:rPr>
        <w:t xml:space="preserve">) מפריש לקרן 813 </w:t>
      </w:r>
      <w:r w:rsidR="000F212C">
        <w:rPr>
          <w:rFonts w:hint="cs"/>
          <w:rtl/>
        </w:rPr>
        <w:t>שקלים חדשים</w:t>
      </w:r>
      <w:r>
        <w:rPr>
          <w:rFonts w:hint="cs"/>
          <w:rtl/>
        </w:rPr>
        <w:t xml:space="preserve"> לחודש (17.5% - לפי התוספת  לצו ההרחבה לפנסיה חובה לשנת 2014), 3% מהפרשה זו למשך שנה (חישוב על פי שנה מלאה) מכניס לחברה המבטחת 292 </w:t>
      </w:r>
      <w:r w:rsidR="000F212C">
        <w:rPr>
          <w:rFonts w:hint="cs"/>
          <w:rtl/>
        </w:rPr>
        <w:t>שקלים חדשים</w:t>
      </w:r>
      <w:r>
        <w:rPr>
          <w:rFonts w:hint="cs"/>
          <w:rtl/>
        </w:rPr>
        <w:t>. לסכום זה מתווספים דמי הנ</w:t>
      </w:r>
      <w:r w:rsidR="000F212C">
        <w:rPr>
          <w:rFonts w:hint="cs"/>
          <w:rtl/>
        </w:rPr>
        <w:t xml:space="preserve">יהול מן היתרה הצבורה אשר גדלים </w:t>
      </w:r>
      <w:r>
        <w:rPr>
          <w:rFonts w:hint="cs"/>
          <w:rtl/>
        </w:rPr>
        <w:t>כל שנה ומגדילים את הרווח של החברה המבטחת בעבור כל לקוח. סכומים אלה מבטיחים כי הלקוח יכסה לכל הפחות את ההוצאו</w:t>
      </w:r>
      <w:r w:rsidR="000F212C">
        <w:rPr>
          <w:rFonts w:hint="cs"/>
          <w:rtl/>
        </w:rPr>
        <w:t xml:space="preserve">ת על השירותים הניתנים לו, </w:t>
      </w:r>
      <w:r>
        <w:rPr>
          <w:rFonts w:hint="cs"/>
          <w:rtl/>
        </w:rPr>
        <w:t>בלי להתחשב בעליית שכר המינימום הצפויה אשר אף תגדיל את הסכום.</w:t>
      </w:r>
    </w:p>
    <w:p w14:paraId="54B48789" w14:textId="20FE68F1" w:rsidR="006128FF" w:rsidRDefault="006128FF" w:rsidP="008A3C7C">
      <w:pPr>
        <w:pStyle w:val="Hesber"/>
        <w:rPr>
          <w:rtl/>
        </w:rPr>
      </w:pPr>
      <w:r>
        <w:rPr>
          <w:rFonts w:hint="cs"/>
          <w:rtl/>
        </w:rPr>
        <w:t xml:space="preserve">התחרות בשוק הובילה </w:t>
      </w:r>
      <w:r w:rsidR="000F212C">
        <w:rPr>
          <w:rFonts w:hint="cs"/>
          <w:rtl/>
        </w:rPr>
        <w:t>להורדת דמי הניהול לחלק מהחוסכים</w:t>
      </w:r>
      <w:r w:rsidR="00096E58">
        <w:rPr>
          <w:rFonts w:hint="cs"/>
          <w:rtl/>
        </w:rPr>
        <w:t xml:space="preserve"> שמשתכרים שכר גבוה ולעובדים המאורגנים בשל כוח המיקוח הרב שלהם, אולם</w:t>
      </w:r>
      <w:r>
        <w:rPr>
          <w:rFonts w:hint="cs"/>
          <w:rtl/>
        </w:rPr>
        <w:t xml:space="preserve"> עובדים רבים שמשכורותיהם נמוכות ואינם מאורגנים נאלצים לשלם דמי ניהול מקסימליים שלאורך מהלך חיים יכולים להגיע עד לכשליש מהחיסכון הפנסיוני. </w:t>
      </w:r>
    </w:p>
    <w:p w14:paraId="218E1364" w14:textId="2BDDB33C" w:rsidR="00E13C27" w:rsidRDefault="006128FF" w:rsidP="00096E58">
      <w:pPr>
        <w:pStyle w:val="Hesber"/>
        <w:rPr>
          <w:rtl/>
        </w:rPr>
      </w:pPr>
      <w:r>
        <w:rPr>
          <w:rFonts w:hint="cs"/>
          <w:rtl/>
        </w:rPr>
        <w:t xml:space="preserve">הצעת החוק מבקשת </w:t>
      </w:r>
      <w:r w:rsidR="00096E58">
        <w:rPr>
          <w:rFonts w:hint="cs"/>
          <w:rtl/>
        </w:rPr>
        <w:t>להפחית</w:t>
      </w:r>
      <w:r>
        <w:rPr>
          <w:rFonts w:hint="cs"/>
          <w:rtl/>
        </w:rPr>
        <w:t xml:space="preserve"> את דמי הניהול </w:t>
      </w:r>
      <w:r w:rsidR="00096E58">
        <w:rPr>
          <w:rFonts w:hint="cs"/>
          <w:rtl/>
        </w:rPr>
        <w:t xml:space="preserve">המרביים </w:t>
      </w:r>
      <w:r>
        <w:rPr>
          <w:rFonts w:hint="cs"/>
          <w:rtl/>
        </w:rPr>
        <w:t>שניתן</w:t>
      </w:r>
      <w:r w:rsidR="00096E58">
        <w:rPr>
          <w:rFonts w:hint="cs"/>
          <w:rtl/>
        </w:rPr>
        <w:t xml:space="preserve"> לגבות מהחוסכים בקרנות הפנסיה ו</w:t>
      </w:r>
      <w:r>
        <w:rPr>
          <w:rFonts w:hint="cs"/>
          <w:rtl/>
        </w:rPr>
        <w:t xml:space="preserve">כך להגדיל משמעותית את הסכום שיוותר לחוסכים להבטחת עתידם הכלכלי. </w:t>
      </w:r>
    </w:p>
    <w:p w14:paraId="66DA0ED8" w14:textId="78ABB589" w:rsidR="009730AA" w:rsidRDefault="009730AA" w:rsidP="00096E58">
      <w:pPr>
        <w:pStyle w:val="Hesber"/>
        <w:rPr>
          <w:rtl/>
        </w:rPr>
      </w:pPr>
    </w:p>
    <w:p w14:paraId="13427C6A" w14:textId="77777777" w:rsidR="009730AA" w:rsidRDefault="009730AA" w:rsidP="00096E58">
      <w:pPr>
        <w:pStyle w:val="Hesber"/>
        <w:rPr>
          <w:rtl/>
        </w:rPr>
      </w:pPr>
    </w:p>
    <w:p w14:paraId="174EA5CB" w14:textId="77777777" w:rsidR="00B77C53" w:rsidRPr="00D73212" w:rsidRDefault="00B77C53" w:rsidP="00015015">
      <w:pPr>
        <w:pStyle w:val="Hesber"/>
        <w:rPr>
          <w:color w:val="auto"/>
          <w:rtl/>
          <w:lang w:eastAsia="en-US"/>
        </w:rPr>
      </w:pPr>
      <w:r w:rsidRPr="00D73212">
        <w:rPr>
          <w:color w:val="auto"/>
          <w:rtl/>
          <w:lang w:eastAsia="en-US"/>
        </w:rPr>
        <w:t>---------------------------------</w:t>
      </w:r>
    </w:p>
    <w:p w14:paraId="3F3B0C53" w14:textId="77777777" w:rsidR="00B77C53" w:rsidRPr="00D73212" w:rsidRDefault="00B77C53" w:rsidP="00015015">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754B31A" w14:textId="77777777" w:rsidR="00B77C53" w:rsidRPr="00D73212" w:rsidRDefault="00B77C53" w:rsidP="00015015">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767DC50" w14:textId="77777777" w:rsidR="00B77C53" w:rsidRPr="00317312" w:rsidRDefault="00B77C53" w:rsidP="00015015">
      <w:pPr>
        <w:pStyle w:val="Hesber"/>
      </w:pPr>
      <w:r>
        <w:rPr>
          <w:rFonts w:hint="cs"/>
          <w:color w:val="auto"/>
          <w:rtl/>
          <w:lang w:eastAsia="en-US"/>
        </w:rPr>
        <w:t>כ"ג בטבת</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4</w:t>
      </w:r>
      <w:r w:rsidRPr="00D73212">
        <w:rPr>
          <w:color w:val="auto"/>
          <w:rtl/>
          <w:lang w:eastAsia="en-US"/>
        </w:rPr>
        <w:t>.</w:t>
      </w:r>
      <w:r>
        <w:rPr>
          <w:rFonts w:hint="cs"/>
          <w:color w:val="auto"/>
          <w:rtl/>
          <w:lang w:eastAsia="en-US"/>
        </w:rPr>
        <w:t>1</w:t>
      </w:r>
      <w:r w:rsidRPr="00D73212">
        <w:rPr>
          <w:color w:val="auto"/>
          <w:rtl/>
          <w:lang w:eastAsia="en-US"/>
        </w:rPr>
        <w:t>.1</w:t>
      </w:r>
      <w:r>
        <w:rPr>
          <w:rFonts w:hint="cs"/>
          <w:color w:val="auto"/>
          <w:rtl/>
          <w:lang w:eastAsia="en-US"/>
        </w:rPr>
        <w:t>6</w:t>
      </w:r>
    </w:p>
    <w:p w14:paraId="031040AA" w14:textId="77777777" w:rsidR="00B77C53" w:rsidRPr="00943F5C" w:rsidRDefault="00B77C53" w:rsidP="00096E58">
      <w:pPr>
        <w:pStyle w:val="Hesber"/>
        <w:rPr>
          <w:rtl/>
        </w:rPr>
      </w:pPr>
    </w:p>
    <w:sectPr w:rsidR="00B77C53" w:rsidRPr="00943F5C" w:rsidSect="009730AA">
      <w:footerReference w:type="even" r:id="rId11"/>
      <w:footerReference w:type="default" r:id="rId12"/>
      <w:pgSz w:w="11907" w:h="16840" w:code="9"/>
      <w:pgMar w:top="1135" w:right="1134" w:bottom="1135"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51BC8">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D7F1E3C" w14:textId="59125201" w:rsidR="00122CDB" w:rsidRDefault="00122CDB">
      <w:pPr>
        <w:pStyle w:val="a4"/>
        <w:rPr>
          <w:rtl/>
        </w:rPr>
      </w:pPr>
      <w:r>
        <w:rPr>
          <w:rStyle w:val="a6"/>
        </w:rPr>
        <w:footnoteRef/>
      </w:r>
      <w:r>
        <w:rPr>
          <w:rtl/>
        </w:rPr>
        <w:t xml:space="preserve"> </w:t>
      </w:r>
      <w:r>
        <w:rPr>
          <w:rFonts w:hint="cs"/>
          <w:rtl/>
        </w:rPr>
        <w:t>ס"ח התשס"ה, עמ' 889.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hideGrammaticalErrors/>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96E58"/>
    <w:rsid w:val="000A542E"/>
    <w:rsid w:val="000F212C"/>
    <w:rsid w:val="00102B6B"/>
    <w:rsid w:val="001052D4"/>
    <w:rsid w:val="0010644B"/>
    <w:rsid w:val="001207F8"/>
    <w:rsid w:val="00121924"/>
    <w:rsid w:val="00122CDB"/>
    <w:rsid w:val="001279A8"/>
    <w:rsid w:val="0014195F"/>
    <w:rsid w:val="00152609"/>
    <w:rsid w:val="00153E1B"/>
    <w:rsid w:val="001A0623"/>
    <w:rsid w:val="001C23B0"/>
    <w:rsid w:val="001D7AAF"/>
    <w:rsid w:val="00203A7F"/>
    <w:rsid w:val="00214838"/>
    <w:rsid w:val="0021633A"/>
    <w:rsid w:val="002200A1"/>
    <w:rsid w:val="002362BF"/>
    <w:rsid w:val="00241B97"/>
    <w:rsid w:val="002425D1"/>
    <w:rsid w:val="00245FF0"/>
    <w:rsid w:val="00246756"/>
    <w:rsid w:val="00251E58"/>
    <w:rsid w:val="00254605"/>
    <w:rsid w:val="00266D86"/>
    <w:rsid w:val="002728B4"/>
    <w:rsid w:val="0027600C"/>
    <w:rsid w:val="00292712"/>
    <w:rsid w:val="002A487D"/>
    <w:rsid w:val="002C2E29"/>
    <w:rsid w:val="002C3041"/>
    <w:rsid w:val="002D1EE3"/>
    <w:rsid w:val="002E7A68"/>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C3EA0"/>
    <w:rsid w:val="005D51AE"/>
    <w:rsid w:val="006128FF"/>
    <w:rsid w:val="0062674B"/>
    <w:rsid w:val="006363B2"/>
    <w:rsid w:val="00644940"/>
    <w:rsid w:val="00651BC8"/>
    <w:rsid w:val="00677FB9"/>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3C7C"/>
    <w:rsid w:val="008A6870"/>
    <w:rsid w:val="008C2DDC"/>
    <w:rsid w:val="008C7516"/>
    <w:rsid w:val="008E6EC7"/>
    <w:rsid w:val="008F0D63"/>
    <w:rsid w:val="008F1308"/>
    <w:rsid w:val="008F2C35"/>
    <w:rsid w:val="008F6665"/>
    <w:rsid w:val="00904591"/>
    <w:rsid w:val="00905E5F"/>
    <w:rsid w:val="009101A9"/>
    <w:rsid w:val="0091204F"/>
    <w:rsid w:val="009203DB"/>
    <w:rsid w:val="00923CD4"/>
    <w:rsid w:val="00930EFE"/>
    <w:rsid w:val="00943386"/>
    <w:rsid w:val="00943F5C"/>
    <w:rsid w:val="009456B6"/>
    <w:rsid w:val="0095612B"/>
    <w:rsid w:val="00957589"/>
    <w:rsid w:val="00966D06"/>
    <w:rsid w:val="009730AA"/>
    <w:rsid w:val="00982412"/>
    <w:rsid w:val="00983A8D"/>
    <w:rsid w:val="009A0DB8"/>
    <w:rsid w:val="009A7257"/>
    <w:rsid w:val="009D6E0A"/>
    <w:rsid w:val="009E1E33"/>
    <w:rsid w:val="00A14672"/>
    <w:rsid w:val="00A26BD6"/>
    <w:rsid w:val="00A443CF"/>
    <w:rsid w:val="00A45BE8"/>
    <w:rsid w:val="00A6611D"/>
    <w:rsid w:val="00A82CB7"/>
    <w:rsid w:val="00A942C1"/>
    <w:rsid w:val="00AA2F03"/>
    <w:rsid w:val="00AC36F7"/>
    <w:rsid w:val="00AC63A4"/>
    <w:rsid w:val="00AD239E"/>
    <w:rsid w:val="00B10265"/>
    <w:rsid w:val="00B16A99"/>
    <w:rsid w:val="00B21211"/>
    <w:rsid w:val="00B35784"/>
    <w:rsid w:val="00B65E25"/>
    <w:rsid w:val="00B733A7"/>
    <w:rsid w:val="00B75C91"/>
    <w:rsid w:val="00B77C53"/>
    <w:rsid w:val="00B975AD"/>
    <w:rsid w:val="00BC45FB"/>
    <w:rsid w:val="00BF148D"/>
    <w:rsid w:val="00C23B1A"/>
    <w:rsid w:val="00C310EB"/>
    <w:rsid w:val="00C9176A"/>
    <w:rsid w:val="00CE33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54B462D-E477-4DE2-9381-2D28355F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6128F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8EC46-EE13-4B6E-8147-97C7A1CD56A8}"/>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elements/1.1/"/>
    <ds:schemaRef ds:uri="http://purl.org/dc/terms/"/>
    <ds:schemaRef ds:uri="f7660851-4ffa-4136-bafb-a5c8c40811cf"/>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8FF6497-A1BD-4839-8A6E-9EB221FED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444</Words>
  <Characters>2755</Characters>
  <Application>Microsoft Office Word</Application>
  <DocSecurity>0</DocSecurity>
  <Lines>918</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הצעת חוק הפיקוח על שירותים פיננסיים (קופות גמל) (תיקון – הגבלת דמי ניהול בקרנות הפנסיה), התשע"ו–2016 - פ2442</vt:lpstr>
      <vt:lpstr>רשומות</vt:lpstr>
    </vt:vector>
  </TitlesOfParts>
  <Company>Knesset</Company>
  <LinksUpToDate>false</LinksUpToDate>
  <CharactersWithSpaces>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הפיקוח על שירותים פיננסיים (קופות גמל) (תיקון – הגבלת דמי ניהול בקרנות הפנסיה), התשע"ו–2016 - פ2442</dc:title>
  <dc:creator>מיקה צור</dc:creator>
  <cp:lastModifiedBy>מיכל יצחקוב</cp:lastModifiedBy>
  <cp:revision>2</cp:revision>
  <cp:lastPrinted>2015-12-31T09:33:00Z</cp:lastPrinted>
  <dcterms:created xsi:type="dcterms:W3CDTF">2018-01-25T07:02:00Z</dcterms:created>
  <dcterms:modified xsi:type="dcterms:W3CDTF">2018-01-25T07:02:00Z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2064500</vt:r8>
  </property>
  <property fmtid="{D5CDD505-2E9C-101B-9397-08002B2CF9AE}" pid="6" name="_CheckOutSrcUrl">
    <vt:lpwstr>http://sd3portal/sites/VEADOT/VaadatKsafim/DocLib9/DocLib9 automatically created by sharedocs 5/00155718.docx</vt:lpwstr>
  </property>
</Properties>
</file>