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0E7B" w:rsidRDefault="007F4F3F" w:rsidP="007F4F3F">
      <w:pPr>
        <w:bidi w:val="0"/>
        <w:spacing w:before="0" w:line="276" w:lineRule="auto"/>
        <w:rPr>
          <w:rFonts w:cs="David"/>
          <w:sz w:val="22"/>
          <w:szCs w:val="22"/>
          <w:rtl/>
        </w:rPr>
      </w:pPr>
      <w:bookmarkStart w:id="0" w:name="_GoBack"/>
      <w:bookmarkEnd w:id="0"/>
      <w:r>
        <w:rPr>
          <w:rFonts w:cs="David" w:hint="cs"/>
          <w:sz w:val="22"/>
          <w:szCs w:val="22"/>
          <w:rtl/>
        </w:rPr>
        <w:t>י"ב</w:t>
      </w:r>
      <w:r w:rsidR="00C60E7B">
        <w:rPr>
          <w:rFonts w:cs="David" w:hint="cs"/>
          <w:sz w:val="22"/>
          <w:szCs w:val="22"/>
          <w:rtl/>
        </w:rPr>
        <w:t xml:space="preserve"> בשבט התשע"ח</w:t>
      </w:r>
    </w:p>
    <w:p w:rsidR="003E071C" w:rsidRDefault="00C60E7B" w:rsidP="007F4F3F">
      <w:pPr>
        <w:bidi w:val="0"/>
        <w:spacing w:before="0" w:line="276" w:lineRule="auto"/>
        <w:rPr>
          <w:rFonts w:cs="David"/>
          <w:sz w:val="24"/>
          <w:szCs w:val="24"/>
          <w:u w:val="single"/>
        </w:rPr>
      </w:pPr>
      <w:r>
        <w:rPr>
          <w:rFonts w:cs="David" w:hint="cs"/>
          <w:sz w:val="22"/>
          <w:szCs w:val="22"/>
          <w:rtl/>
        </w:rPr>
        <w:t>2</w:t>
      </w:r>
      <w:r w:rsidR="007F4F3F">
        <w:rPr>
          <w:rFonts w:cs="David" w:hint="cs"/>
          <w:sz w:val="22"/>
          <w:szCs w:val="22"/>
          <w:rtl/>
        </w:rPr>
        <w:t>8</w:t>
      </w:r>
      <w:r>
        <w:rPr>
          <w:rFonts w:cs="David" w:hint="cs"/>
          <w:sz w:val="22"/>
          <w:szCs w:val="22"/>
          <w:rtl/>
        </w:rPr>
        <w:t xml:space="preserve"> ינואר 2018</w:t>
      </w:r>
    </w:p>
    <w:p w:rsidR="003E071C" w:rsidRDefault="003E071C" w:rsidP="00F44281">
      <w:pPr>
        <w:spacing w:before="0" w:line="276" w:lineRule="auto"/>
        <w:ind w:firstLine="0"/>
        <w:rPr>
          <w:rFonts w:cs="David"/>
          <w:sz w:val="24"/>
          <w:szCs w:val="24"/>
          <w:rtl/>
        </w:rPr>
      </w:pPr>
      <w:r>
        <w:rPr>
          <w:rFonts w:cs="David" w:hint="cs"/>
          <w:sz w:val="24"/>
          <w:szCs w:val="24"/>
          <w:u w:val="single"/>
          <w:rtl/>
        </w:rPr>
        <w:t>אל</w:t>
      </w:r>
      <w:r>
        <w:rPr>
          <w:rFonts w:cs="David" w:hint="cs"/>
          <w:sz w:val="24"/>
          <w:szCs w:val="24"/>
          <w:rtl/>
        </w:rPr>
        <w:t>: חברי ועדת החוקה, חוק ומשפט</w:t>
      </w:r>
    </w:p>
    <w:p w:rsidR="003E071C" w:rsidRDefault="003E071C" w:rsidP="00F44281">
      <w:pPr>
        <w:spacing w:before="0" w:line="276" w:lineRule="auto"/>
        <w:ind w:firstLine="0"/>
        <w:rPr>
          <w:rFonts w:cs="David"/>
          <w:sz w:val="24"/>
          <w:szCs w:val="24"/>
          <w:rtl/>
        </w:rPr>
      </w:pPr>
      <w:r>
        <w:rPr>
          <w:rFonts w:cs="David" w:hint="cs"/>
          <w:sz w:val="24"/>
          <w:szCs w:val="24"/>
          <w:u w:val="single"/>
          <w:rtl/>
        </w:rPr>
        <w:t>מאת</w:t>
      </w:r>
      <w:r>
        <w:rPr>
          <w:rFonts w:cs="David" w:hint="cs"/>
          <w:sz w:val="24"/>
          <w:szCs w:val="24"/>
          <w:rtl/>
        </w:rPr>
        <w:t>: הייעוץ המשפטי לוועדה</w:t>
      </w:r>
    </w:p>
    <w:p w:rsidR="003E071C" w:rsidRDefault="003E071C" w:rsidP="00F44281">
      <w:pPr>
        <w:spacing w:line="276" w:lineRule="auto"/>
        <w:ind w:firstLine="0"/>
        <w:rPr>
          <w:rFonts w:cs="David"/>
          <w:sz w:val="24"/>
          <w:szCs w:val="24"/>
          <w:rtl/>
        </w:rPr>
      </w:pPr>
    </w:p>
    <w:p w:rsidR="003E071C" w:rsidRDefault="00C4139D" w:rsidP="00F44281">
      <w:pPr>
        <w:spacing w:before="0" w:line="276" w:lineRule="auto"/>
        <w:ind w:firstLine="0"/>
        <w:rPr>
          <w:rFonts w:cs="David"/>
          <w:sz w:val="24"/>
          <w:szCs w:val="24"/>
          <w:rtl/>
        </w:rPr>
      </w:pPr>
      <w:r>
        <w:rPr>
          <w:rFonts w:cs="David" w:hint="cs"/>
          <w:sz w:val="24"/>
          <w:szCs w:val="24"/>
          <w:rtl/>
        </w:rPr>
        <w:t xml:space="preserve">מסמך הכנה לקראת דיון בוועדה בעניין: </w:t>
      </w:r>
    </w:p>
    <w:p w:rsidR="00C4139D" w:rsidRDefault="00C4139D" w:rsidP="00F44281">
      <w:pPr>
        <w:spacing w:before="0" w:line="276" w:lineRule="auto"/>
        <w:ind w:firstLine="0"/>
        <w:rPr>
          <w:rFonts w:cs="David"/>
          <w:sz w:val="24"/>
          <w:szCs w:val="24"/>
          <w:rtl/>
        </w:rPr>
      </w:pPr>
    </w:p>
    <w:p w:rsidR="00E84296" w:rsidRPr="00C4139D" w:rsidRDefault="00D7056D" w:rsidP="008164E4">
      <w:pPr>
        <w:pStyle w:val="a7"/>
        <w:numPr>
          <w:ilvl w:val="0"/>
          <w:numId w:val="7"/>
        </w:numPr>
        <w:spacing w:before="0" w:after="120" w:line="276" w:lineRule="auto"/>
        <w:rPr>
          <w:rFonts w:cs="David"/>
          <w:b/>
          <w:bCs/>
          <w:sz w:val="20"/>
          <w:szCs w:val="22"/>
          <w:u w:val="single"/>
          <w:rtl/>
        </w:rPr>
      </w:pPr>
      <w:r w:rsidRPr="00C4139D">
        <w:rPr>
          <w:rFonts w:cs="David" w:hint="cs"/>
          <w:b/>
          <w:bCs/>
          <w:sz w:val="20"/>
          <w:szCs w:val="22"/>
          <w:u w:val="single"/>
          <w:rtl/>
        </w:rPr>
        <w:t xml:space="preserve">הצעת חוק </w:t>
      </w:r>
      <w:r w:rsidR="00321960" w:rsidRPr="00C4139D">
        <w:rPr>
          <w:rFonts w:cs="David" w:hint="cs"/>
          <w:b/>
          <w:bCs/>
          <w:sz w:val="20"/>
          <w:szCs w:val="22"/>
          <w:u w:val="single"/>
          <w:rtl/>
        </w:rPr>
        <w:t xml:space="preserve">סדר הדין הפלילי </w:t>
      </w:r>
      <w:r w:rsidR="003E071C" w:rsidRPr="00C4139D">
        <w:rPr>
          <w:rFonts w:cs="David" w:hint="cs"/>
          <w:b/>
          <w:bCs/>
          <w:sz w:val="20"/>
          <w:szCs w:val="22"/>
          <w:u w:val="single"/>
          <w:rtl/>
        </w:rPr>
        <w:t>(</w:t>
      </w:r>
      <w:r w:rsidR="00D0202B" w:rsidRPr="00C4139D">
        <w:rPr>
          <w:rFonts w:cs="David" w:hint="cs"/>
          <w:b/>
          <w:bCs/>
          <w:sz w:val="20"/>
          <w:szCs w:val="22"/>
          <w:u w:val="single"/>
          <w:rtl/>
        </w:rPr>
        <w:t>תיקון - הגבלת משך זמן החקירה המשטרתית וטיפול התביעה בתיק החקירה עד להגשת כתב אישום</w:t>
      </w:r>
      <w:r w:rsidR="00321960" w:rsidRPr="00C4139D">
        <w:rPr>
          <w:rFonts w:cs="David" w:hint="cs"/>
          <w:b/>
          <w:bCs/>
          <w:sz w:val="20"/>
          <w:szCs w:val="22"/>
          <w:u w:val="single"/>
          <w:rtl/>
        </w:rPr>
        <w:t>)</w:t>
      </w:r>
      <w:r w:rsidR="003E071C" w:rsidRPr="00C4139D">
        <w:rPr>
          <w:rFonts w:cs="David" w:hint="cs"/>
          <w:b/>
          <w:bCs/>
          <w:sz w:val="20"/>
          <w:szCs w:val="22"/>
          <w:u w:val="single"/>
          <w:rtl/>
        </w:rPr>
        <w:t>, התשע"</w:t>
      </w:r>
      <w:r w:rsidR="00D0202B" w:rsidRPr="00C4139D">
        <w:rPr>
          <w:rFonts w:cs="David" w:hint="cs"/>
          <w:b/>
          <w:bCs/>
          <w:sz w:val="20"/>
          <w:szCs w:val="22"/>
          <w:u w:val="single"/>
          <w:rtl/>
        </w:rPr>
        <w:t>ו</w:t>
      </w:r>
      <w:r w:rsidR="003E071C" w:rsidRPr="00C4139D">
        <w:rPr>
          <w:rFonts w:cs="David" w:hint="cs"/>
          <w:b/>
          <w:bCs/>
          <w:sz w:val="20"/>
          <w:szCs w:val="22"/>
          <w:u w:val="single"/>
          <w:rtl/>
        </w:rPr>
        <w:t>-201</w:t>
      </w:r>
      <w:r w:rsidR="00D0202B" w:rsidRPr="00C4139D">
        <w:rPr>
          <w:rFonts w:cs="David" w:hint="cs"/>
          <w:b/>
          <w:bCs/>
          <w:sz w:val="20"/>
          <w:szCs w:val="22"/>
          <w:u w:val="single"/>
          <w:rtl/>
        </w:rPr>
        <w:t>6</w:t>
      </w:r>
      <w:r w:rsidR="00E84296" w:rsidRPr="00C4139D">
        <w:rPr>
          <w:rFonts w:cs="David" w:hint="cs"/>
          <w:b/>
          <w:bCs/>
          <w:sz w:val="20"/>
          <w:szCs w:val="22"/>
          <w:u w:val="single"/>
          <w:rtl/>
        </w:rPr>
        <w:t xml:space="preserve"> </w:t>
      </w:r>
      <w:r w:rsidR="00D0202B" w:rsidRPr="00C4139D">
        <w:rPr>
          <w:rFonts w:cs="David"/>
          <w:b/>
          <w:bCs/>
          <w:sz w:val="20"/>
          <w:szCs w:val="22"/>
          <w:u w:val="single"/>
          <w:rtl/>
        </w:rPr>
        <w:t>–</w:t>
      </w:r>
      <w:r w:rsidR="00D0202B" w:rsidRPr="00C4139D">
        <w:rPr>
          <w:rFonts w:cs="David" w:hint="cs"/>
          <w:b/>
          <w:bCs/>
          <w:sz w:val="20"/>
          <w:szCs w:val="22"/>
          <w:u w:val="single"/>
          <w:rtl/>
        </w:rPr>
        <w:t xml:space="preserve"> פ/3041/20</w:t>
      </w:r>
      <w:r w:rsidR="00751D42" w:rsidRPr="00C4139D">
        <w:rPr>
          <w:rFonts w:cs="David" w:hint="cs"/>
          <w:b/>
          <w:bCs/>
          <w:sz w:val="20"/>
          <w:szCs w:val="22"/>
          <w:u w:val="single"/>
          <w:rtl/>
        </w:rPr>
        <w:t xml:space="preserve"> של ח"כ ניסן סלומינסקי ואח'</w:t>
      </w:r>
    </w:p>
    <w:p w:rsidR="00D0202B" w:rsidRPr="00C4139D" w:rsidRDefault="00D0202B" w:rsidP="008164E4">
      <w:pPr>
        <w:pStyle w:val="a7"/>
        <w:numPr>
          <w:ilvl w:val="0"/>
          <w:numId w:val="7"/>
        </w:numPr>
        <w:spacing w:before="0" w:after="120" w:line="276" w:lineRule="auto"/>
        <w:rPr>
          <w:rFonts w:cs="David"/>
          <w:b/>
          <w:bCs/>
          <w:sz w:val="20"/>
          <w:szCs w:val="22"/>
          <w:u w:val="single"/>
          <w:rtl/>
        </w:rPr>
      </w:pPr>
      <w:r w:rsidRPr="00C4139D">
        <w:rPr>
          <w:rFonts w:cs="David" w:hint="cs"/>
          <w:b/>
          <w:bCs/>
          <w:sz w:val="20"/>
          <w:szCs w:val="22"/>
          <w:u w:val="single"/>
          <w:rtl/>
        </w:rPr>
        <w:t xml:space="preserve">הצעת חוק סדר הדין הפלילי (תיקון - הגבלת משך זמן החקירה המשטרתית וטיפול התביעה בתיק החקירה עד להגשת כתב אישום), התשע"ה-2015 </w:t>
      </w:r>
      <w:r w:rsidRPr="00C4139D">
        <w:rPr>
          <w:rFonts w:cs="David"/>
          <w:b/>
          <w:bCs/>
          <w:sz w:val="20"/>
          <w:szCs w:val="22"/>
          <w:u w:val="single"/>
          <w:rtl/>
        </w:rPr>
        <w:t>–</w:t>
      </w:r>
      <w:r w:rsidRPr="00C4139D">
        <w:rPr>
          <w:rFonts w:cs="David" w:hint="cs"/>
          <w:b/>
          <w:bCs/>
          <w:sz w:val="20"/>
          <w:szCs w:val="22"/>
          <w:u w:val="single"/>
          <w:rtl/>
        </w:rPr>
        <w:t xml:space="preserve"> פ/693/20</w:t>
      </w:r>
      <w:r w:rsidR="00751D42" w:rsidRPr="00C4139D">
        <w:rPr>
          <w:rFonts w:cs="David" w:hint="cs"/>
          <w:b/>
          <w:bCs/>
          <w:sz w:val="20"/>
          <w:szCs w:val="22"/>
          <w:u w:val="single"/>
          <w:rtl/>
        </w:rPr>
        <w:t xml:space="preserve"> של ח"כ דב חנין ואח' </w:t>
      </w:r>
    </w:p>
    <w:p w:rsidR="00D0202B" w:rsidRPr="00C4139D" w:rsidRDefault="00D0202B" w:rsidP="008164E4">
      <w:pPr>
        <w:pStyle w:val="a7"/>
        <w:numPr>
          <w:ilvl w:val="0"/>
          <w:numId w:val="7"/>
        </w:numPr>
        <w:spacing w:before="0" w:after="120" w:line="276" w:lineRule="auto"/>
        <w:rPr>
          <w:rFonts w:cs="David"/>
          <w:b/>
          <w:bCs/>
          <w:sz w:val="20"/>
          <w:szCs w:val="22"/>
          <w:u w:val="single"/>
          <w:rtl/>
        </w:rPr>
      </w:pPr>
      <w:r w:rsidRPr="00C4139D">
        <w:rPr>
          <w:rFonts w:cs="David" w:hint="cs"/>
          <w:b/>
          <w:bCs/>
          <w:sz w:val="20"/>
          <w:szCs w:val="22"/>
          <w:u w:val="single"/>
          <w:rtl/>
        </w:rPr>
        <w:t xml:space="preserve">הצעת חוק סדר הדין הפלילי (תיקון - משך החקירה), התשע"ה-2015 </w:t>
      </w:r>
      <w:r w:rsidRPr="00C4139D">
        <w:rPr>
          <w:rFonts w:cs="David"/>
          <w:b/>
          <w:bCs/>
          <w:sz w:val="20"/>
          <w:szCs w:val="22"/>
          <w:u w:val="single"/>
          <w:rtl/>
        </w:rPr>
        <w:t>–</w:t>
      </w:r>
      <w:r w:rsidRPr="00C4139D">
        <w:rPr>
          <w:rFonts w:cs="David" w:hint="cs"/>
          <w:b/>
          <w:bCs/>
          <w:sz w:val="20"/>
          <w:szCs w:val="22"/>
          <w:u w:val="single"/>
          <w:rtl/>
        </w:rPr>
        <w:t xml:space="preserve"> פ/1322/20</w:t>
      </w:r>
      <w:r w:rsidR="00751D42" w:rsidRPr="00C4139D">
        <w:rPr>
          <w:rFonts w:cs="David" w:hint="cs"/>
          <w:b/>
          <w:bCs/>
          <w:sz w:val="20"/>
          <w:szCs w:val="22"/>
          <w:u w:val="single"/>
          <w:rtl/>
        </w:rPr>
        <w:t xml:space="preserve"> של ח"כ טלב אבו עראר ואח'</w:t>
      </w:r>
    </w:p>
    <w:p w:rsidR="00285CA9" w:rsidRDefault="00285CA9" w:rsidP="00793476">
      <w:pPr>
        <w:spacing w:line="276" w:lineRule="auto"/>
        <w:ind w:firstLine="0"/>
        <w:rPr>
          <w:rFonts w:cs="David"/>
          <w:b/>
          <w:bCs/>
          <w:sz w:val="24"/>
          <w:szCs w:val="24"/>
          <w:u w:val="single"/>
          <w:rtl/>
        </w:rPr>
      </w:pPr>
    </w:p>
    <w:p w:rsidR="00285CA9" w:rsidRPr="00285CA9" w:rsidRDefault="00285CA9" w:rsidP="00793476">
      <w:pPr>
        <w:spacing w:line="276" w:lineRule="auto"/>
        <w:ind w:firstLine="0"/>
        <w:rPr>
          <w:rFonts w:cs="David"/>
          <w:b/>
          <w:bCs/>
          <w:sz w:val="24"/>
          <w:szCs w:val="24"/>
          <w:u w:val="single"/>
          <w:rtl/>
        </w:rPr>
      </w:pPr>
      <w:r w:rsidRPr="00285CA9">
        <w:rPr>
          <w:rFonts w:cs="David" w:hint="cs"/>
          <w:b/>
          <w:bCs/>
          <w:sz w:val="24"/>
          <w:szCs w:val="24"/>
          <w:u w:val="single"/>
          <w:rtl/>
        </w:rPr>
        <w:t>עיקרי הדברים</w:t>
      </w:r>
    </w:p>
    <w:p w:rsidR="00AF3C6C" w:rsidRDefault="00AF3C6C" w:rsidP="003E3293">
      <w:pPr>
        <w:spacing w:line="360" w:lineRule="auto"/>
        <w:ind w:firstLine="0"/>
        <w:rPr>
          <w:rFonts w:cs="David"/>
          <w:sz w:val="24"/>
          <w:szCs w:val="24"/>
          <w:rtl/>
        </w:rPr>
      </w:pPr>
      <w:r>
        <w:rPr>
          <w:rFonts w:cs="David" w:hint="cs"/>
          <w:sz w:val="24"/>
          <w:szCs w:val="24"/>
          <w:rtl/>
        </w:rPr>
        <w:t>הצעות החוק שבנדון מבקשות לקבוע מגבלות על משך הליכי החקירה וההעמדה לדין.</w:t>
      </w:r>
    </w:p>
    <w:p w:rsidR="00285CA9" w:rsidRDefault="00285CA9" w:rsidP="00E72B15">
      <w:pPr>
        <w:spacing w:line="360" w:lineRule="auto"/>
        <w:ind w:firstLine="0"/>
        <w:rPr>
          <w:rFonts w:cs="David"/>
          <w:sz w:val="24"/>
          <w:szCs w:val="24"/>
          <w:rtl/>
        </w:rPr>
      </w:pPr>
      <w:r>
        <w:rPr>
          <w:rFonts w:cs="David" w:hint="cs"/>
          <w:sz w:val="24"/>
          <w:szCs w:val="24"/>
          <w:rtl/>
        </w:rPr>
        <w:t xml:space="preserve">כפי שיפורט </w:t>
      </w:r>
      <w:r w:rsidR="00AF3C6C">
        <w:rPr>
          <w:rFonts w:cs="David" w:hint="cs"/>
          <w:sz w:val="24"/>
          <w:szCs w:val="24"/>
          <w:rtl/>
        </w:rPr>
        <w:t xml:space="preserve">להלן, גם כיום קיימות </w:t>
      </w:r>
      <w:r>
        <w:rPr>
          <w:rFonts w:cs="David" w:hint="cs"/>
          <w:sz w:val="24"/>
          <w:szCs w:val="24"/>
          <w:rtl/>
        </w:rPr>
        <w:t>הנחיות פנימיות המטילות על רשויות החקירה והתביעה מ</w:t>
      </w:r>
      <w:r w:rsidR="00404A4D" w:rsidRPr="00285CA9">
        <w:rPr>
          <w:rFonts w:cs="David" w:hint="cs"/>
          <w:sz w:val="24"/>
          <w:szCs w:val="24"/>
          <w:rtl/>
        </w:rPr>
        <w:t xml:space="preserve">גבלות על משך </w:t>
      </w:r>
      <w:r>
        <w:rPr>
          <w:rFonts w:cs="David" w:hint="cs"/>
          <w:sz w:val="24"/>
          <w:szCs w:val="24"/>
          <w:rtl/>
        </w:rPr>
        <w:t xml:space="preserve">הליכי </w:t>
      </w:r>
      <w:r w:rsidR="00404A4D" w:rsidRPr="00285CA9">
        <w:rPr>
          <w:rFonts w:cs="David"/>
          <w:sz w:val="24"/>
          <w:szCs w:val="24"/>
          <w:rtl/>
          <w:rPrChange w:id="1" w:author="תמי סלע" w:date="2018-01-25T12:46:00Z">
            <w:rPr>
              <w:rFonts w:cs="David"/>
              <w:b/>
              <w:bCs/>
              <w:sz w:val="24"/>
              <w:szCs w:val="24"/>
              <w:u w:val="single"/>
              <w:rtl/>
            </w:rPr>
          </w:rPrChange>
        </w:rPr>
        <w:t>החקירה</w:t>
      </w:r>
      <w:r>
        <w:rPr>
          <w:rFonts w:cs="David" w:hint="cs"/>
          <w:sz w:val="24"/>
          <w:szCs w:val="24"/>
          <w:rtl/>
        </w:rPr>
        <w:t xml:space="preserve"> וההעמדה לדין. שאלת מפתח שהוועדה צריכה להידרש אליה תחילה היא האם יש צורך והצדקה ל</w:t>
      </w:r>
      <w:r w:rsidR="00AF3C6C">
        <w:rPr>
          <w:rFonts w:cs="David" w:hint="cs"/>
          <w:sz w:val="24"/>
          <w:szCs w:val="24"/>
          <w:rtl/>
        </w:rPr>
        <w:t xml:space="preserve">קבוע הוראות בעניין זה </w:t>
      </w:r>
      <w:r>
        <w:rPr>
          <w:rFonts w:cs="David" w:hint="cs"/>
          <w:sz w:val="24"/>
          <w:szCs w:val="24"/>
          <w:rtl/>
        </w:rPr>
        <w:t>בחקיקה</w:t>
      </w:r>
      <w:r w:rsidR="00AF3C6C">
        <w:rPr>
          <w:rFonts w:cs="David" w:hint="cs"/>
          <w:sz w:val="24"/>
          <w:szCs w:val="24"/>
          <w:rtl/>
        </w:rPr>
        <w:t xml:space="preserve"> או שדי בהנחיות הפנימיות</w:t>
      </w:r>
      <w:r>
        <w:rPr>
          <w:rFonts w:cs="David" w:hint="cs"/>
          <w:sz w:val="24"/>
          <w:szCs w:val="24"/>
          <w:rtl/>
        </w:rPr>
        <w:t xml:space="preserve">. </w:t>
      </w:r>
      <w:r w:rsidR="003E3293">
        <w:rPr>
          <w:rFonts w:cs="David" w:hint="cs"/>
          <w:sz w:val="24"/>
          <w:szCs w:val="24"/>
          <w:rtl/>
        </w:rPr>
        <w:t>בהקשר זה נציין כי ככלל, רשויות החקירה והתביעה עומדות במגבלות שנקבעו בהנחיות הפנימיות וכי קיימת מגמה של צמצום היקף המקרים החורגים מהמגבלות</w:t>
      </w:r>
      <w:r w:rsidR="00C25249">
        <w:rPr>
          <w:rFonts w:cs="David" w:hint="cs"/>
          <w:sz w:val="24"/>
          <w:szCs w:val="24"/>
          <w:rtl/>
        </w:rPr>
        <w:t xml:space="preserve">, וכי </w:t>
      </w:r>
      <w:r w:rsidR="003E3293">
        <w:rPr>
          <w:rFonts w:cs="David" w:hint="cs"/>
          <w:sz w:val="24"/>
          <w:szCs w:val="24"/>
          <w:rtl/>
        </w:rPr>
        <w:t xml:space="preserve">קביעה בחקיקה של הוראות קונקרטיות בענין משך הליכי החקירה אינה מקובלת במדינות העולם, אך יש מספר דוגמאות </w:t>
      </w:r>
      <w:r w:rsidR="00E72B15">
        <w:rPr>
          <w:rFonts w:cs="David" w:hint="cs"/>
          <w:sz w:val="24"/>
          <w:szCs w:val="24"/>
          <w:rtl/>
        </w:rPr>
        <w:t>הפוכות</w:t>
      </w:r>
      <w:r w:rsidR="003E3293">
        <w:rPr>
          <w:rFonts w:cs="David" w:hint="cs"/>
          <w:sz w:val="24"/>
          <w:szCs w:val="24"/>
          <w:rtl/>
        </w:rPr>
        <w:t xml:space="preserve">. </w:t>
      </w:r>
    </w:p>
    <w:p w:rsidR="00793476" w:rsidRPr="00285CA9" w:rsidRDefault="00285CA9" w:rsidP="003E3293">
      <w:pPr>
        <w:spacing w:line="360" w:lineRule="auto"/>
        <w:ind w:firstLine="0"/>
        <w:rPr>
          <w:rFonts w:cs="David"/>
          <w:sz w:val="24"/>
          <w:szCs w:val="24"/>
          <w:rtl/>
          <w:rPrChange w:id="2" w:author="תמי סלע" w:date="2018-01-25T12:46:00Z">
            <w:rPr>
              <w:rFonts w:cs="David"/>
              <w:b/>
              <w:bCs/>
              <w:sz w:val="24"/>
              <w:szCs w:val="24"/>
              <w:u w:val="single"/>
              <w:rtl/>
            </w:rPr>
          </w:rPrChange>
        </w:rPr>
      </w:pPr>
      <w:r>
        <w:rPr>
          <w:rFonts w:cs="David" w:hint="cs"/>
          <w:sz w:val="24"/>
          <w:szCs w:val="24"/>
          <w:rtl/>
        </w:rPr>
        <w:t xml:space="preserve">לאחר שתוכרע שאלה זו ניתן </w:t>
      </w:r>
      <w:r w:rsidR="00AF3C6C">
        <w:rPr>
          <w:rFonts w:cs="David" w:hint="cs"/>
          <w:sz w:val="24"/>
          <w:szCs w:val="24"/>
          <w:rtl/>
        </w:rPr>
        <w:t xml:space="preserve">יהיה </w:t>
      </w:r>
      <w:r>
        <w:rPr>
          <w:rFonts w:cs="David" w:hint="cs"/>
          <w:sz w:val="24"/>
          <w:szCs w:val="24"/>
          <w:rtl/>
        </w:rPr>
        <w:t>לבחון את פרטי ההסדרים. קיימים הבדלים מסוימים במשך התקופות ובמנגנונים להארכת התקופות,</w:t>
      </w:r>
      <w:r w:rsidR="003E3293">
        <w:rPr>
          <w:rFonts w:cs="David" w:hint="cs"/>
          <w:sz w:val="24"/>
          <w:szCs w:val="24"/>
          <w:rtl/>
        </w:rPr>
        <w:t xml:space="preserve"> אשר יכולים להשפיע על התוצאה הסופית,</w:t>
      </w:r>
      <w:r>
        <w:rPr>
          <w:rFonts w:cs="David" w:hint="cs"/>
          <w:sz w:val="24"/>
          <w:szCs w:val="24"/>
          <w:rtl/>
        </w:rPr>
        <w:t xml:space="preserve"> אך ההבדל המשמעותי ביותר הוא בשאלת הסנקציה על הפרת המגבלות. </w:t>
      </w:r>
      <w:r w:rsidR="003E3293">
        <w:rPr>
          <w:rFonts w:cs="David" w:hint="cs"/>
          <w:sz w:val="24"/>
          <w:szCs w:val="24"/>
          <w:rtl/>
        </w:rPr>
        <w:t xml:space="preserve">בשונה מההנחיות הפנימיות, </w:t>
      </w:r>
      <w:r w:rsidR="00AF3C6C">
        <w:rPr>
          <w:rFonts w:cs="David" w:hint="cs"/>
          <w:sz w:val="24"/>
          <w:szCs w:val="24"/>
          <w:rtl/>
        </w:rPr>
        <w:t xml:space="preserve">הצעות החוק מבקשות </w:t>
      </w:r>
      <w:r w:rsidR="00793476" w:rsidRPr="00285CA9">
        <w:rPr>
          <w:rFonts w:cs="David"/>
          <w:sz w:val="24"/>
          <w:szCs w:val="24"/>
          <w:rtl/>
          <w:rPrChange w:id="3" w:author="תמי סלע" w:date="2018-01-25T12:46:00Z">
            <w:rPr>
              <w:rFonts w:cs="David"/>
              <w:b/>
              <w:bCs/>
              <w:sz w:val="24"/>
              <w:szCs w:val="24"/>
              <w:u w:val="single"/>
              <w:rtl/>
            </w:rPr>
          </w:rPrChange>
        </w:rPr>
        <w:t xml:space="preserve">להטיל על גורמי </w:t>
      </w:r>
      <w:r w:rsidR="00AF3C6C">
        <w:rPr>
          <w:rFonts w:cs="David" w:hint="cs"/>
          <w:sz w:val="24"/>
          <w:szCs w:val="24"/>
          <w:rtl/>
        </w:rPr>
        <w:t>החקירה ו</w:t>
      </w:r>
      <w:r w:rsidR="00793476" w:rsidRPr="00285CA9">
        <w:rPr>
          <w:rFonts w:cs="David"/>
          <w:sz w:val="24"/>
          <w:szCs w:val="24"/>
          <w:rtl/>
          <w:rPrChange w:id="4" w:author="תמי סלע" w:date="2018-01-25T12:46:00Z">
            <w:rPr>
              <w:rFonts w:cs="David"/>
              <w:b/>
              <w:bCs/>
              <w:sz w:val="24"/>
              <w:szCs w:val="24"/>
              <w:u w:val="single"/>
              <w:rtl/>
            </w:rPr>
          </w:rPrChange>
        </w:rPr>
        <w:t xml:space="preserve">התביעה </w:t>
      </w:r>
      <w:r w:rsidR="00AF3C6C">
        <w:rPr>
          <w:rFonts w:cs="David" w:hint="cs"/>
          <w:sz w:val="24"/>
          <w:szCs w:val="24"/>
          <w:rtl/>
        </w:rPr>
        <w:t>סנקציות על אי עמידה בזמנים הנדרשים</w:t>
      </w:r>
      <w:r w:rsidR="003E3293">
        <w:rPr>
          <w:rFonts w:cs="David" w:hint="cs"/>
          <w:sz w:val="24"/>
          <w:szCs w:val="24"/>
          <w:rtl/>
        </w:rPr>
        <w:t>,</w:t>
      </w:r>
      <w:r w:rsidR="00793476" w:rsidRPr="00285CA9">
        <w:rPr>
          <w:rFonts w:cs="David"/>
          <w:sz w:val="24"/>
          <w:szCs w:val="24"/>
          <w:rtl/>
          <w:rPrChange w:id="5" w:author="תמי סלע" w:date="2018-01-25T12:46:00Z">
            <w:rPr>
              <w:rFonts w:cs="David"/>
              <w:b/>
              <w:bCs/>
              <w:sz w:val="24"/>
              <w:szCs w:val="24"/>
              <w:u w:val="single"/>
              <w:rtl/>
            </w:rPr>
          </w:rPrChange>
        </w:rPr>
        <w:t xml:space="preserve"> </w:t>
      </w:r>
      <w:r w:rsidR="00AF3C6C">
        <w:rPr>
          <w:rFonts w:cs="David" w:hint="cs"/>
          <w:sz w:val="24"/>
          <w:szCs w:val="24"/>
          <w:rtl/>
        </w:rPr>
        <w:t>שמשמעותן היא</w:t>
      </w:r>
      <w:r w:rsidR="00793476" w:rsidRPr="00285CA9">
        <w:rPr>
          <w:rFonts w:cs="David"/>
          <w:sz w:val="24"/>
          <w:szCs w:val="24"/>
          <w:rtl/>
          <w:rPrChange w:id="6" w:author="תמי סלע" w:date="2018-01-25T12:46:00Z">
            <w:rPr>
              <w:rFonts w:cs="David"/>
              <w:b/>
              <w:bCs/>
              <w:sz w:val="24"/>
              <w:szCs w:val="24"/>
              <w:u w:val="single"/>
              <w:rtl/>
            </w:rPr>
          </w:rPrChange>
        </w:rPr>
        <w:t xml:space="preserve"> שנאשמים לא יועמדו לדין</w:t>
      </w:r>
      <w:r w:rsidR="00AF3C6C">
        <w:rPr>
          <w:rFonts w:cs="David" w:hint="cs"/>
          <w:sz w:val="24"/>
          <w:szCs w:val="24"/>
          <w:rtl/>
        </w:rPr>
        <w:t xml:space="preserve">. ההנחיות הפנימיות מחייבות פיקוח של היועץ המשפטי לממשלה על חריגה מהזמנים הקבועים בהן, אך מותירות את שיקול הדעת בידיו. </w:t>
      </w:r>
    </w:p>
    <w:p w:rsidR="00793476" w:rsidRPr="00285CA9" w:rsidRDefault="00AF3C6C" w:rsidP="003E3293">
      <w:pPr>
        <w:spacing w:line="360" w:lineRule="auto"/>
        <w:ind w:firstLine="0"/>
        <w:rPr>
          <w:rFonts w:cs="David"/>
          <w:sz w:val="24"/>
          <w:szCs w:val="24"/>
          <w:rtl/>
          <w:rPrChange w:id="7" w:author="תמי סלע" w:date="2018-01-25T12:46:00Z">
            <w:rPr>
              <w:rFonts w:cs="David"/>
              <w:b/>
              <w:bCs/>
              <w:sz w:val="24"/>
              <w:szCs w:val="24"/>
              <w:u w:val="single"/>
              <w:rtl/>
            </w:rPr>
          </w:rPrChange>
        </w:rPr>
      </w:pPr>
      <w:r>
        <w:rPr>
          <w:rFonts w:cs="David" w:hint="cs"/>
          <w:sz w:val="24"/>
          <w:szCs w:val="24"/>
          <w:rtl/>
        </w:rPr>
        <w:t xml:space="preserve">יצויין כי </w:t>
      </w:r>
      <w:r w:rsidR="00793476" w:rsidRPr="00285CA9">
        <w:rPr>
          <w:rFonts w:cs="David"/>
          <w:sz w:val="24"/>
          <w:szCs w:val="24"/>
          <w:rtl/>
          <w:rPrChange w:id="8" w:author="תמי סלע" w:date="2018-01-25T12:46:00Z">
            <w:rPr>
              <w:rFonts w:cs="David"/>
              <w:b/>
              <w:bCs/>
              <w:sz w:val="24"/>
              <w:szCs w:val="24"/>
              <w:u w:val="single"/>
              <w:rtl/>
            </w:rPr>
          </w:rPrChange>
        </w:rPr>
        <w:t xml:space="preserve">ועדת השרים </w:t>
      </w:r>
      <w:r>
        <w:rPr>
          <w:rFonts w:cs="David" w:hint="cs"/>
          <w:sz w:val="24"/>
          <w:szCs w:val="24"/>
          <w:rtl/>
        </w:rPr>
        <w:t>החליטה לתמוך ב</w:t>
      </w:r>
      <w:r w:rsidR="00793476" w:rsidRPr="00285CA9">
        <w:rPr>
          <w:rFonts w:cs="David"/>
          <w:sz w:val="24"/>
          <w:szCs w:val="24"/>
          <w:rtl/>
          <w:rPrChange w:id="9" w:author="תמי סלע" w:date="2018-01-25T12:46:00Z">
            <w:rPr>
              <w:rFonts w:cs="David"/>
              <w:b/>
              <w:bCs/>
              <w:sz w:val="24"/>
              <w:szCs w:val="24"/>
              <w:u w:val="single"/>
              <w:rtl/>
            </w:rPr>
          </w:rPrChange>
        </w:rPr>
        <w:t xml:space="preserve">הצעות החוק </w:t>
      </w:r>
      <w:r>
        <w:rPr>
          <w:rFonts w:cs="David" w:hint="cs"/>
          <w:sz w:val="24"/>
          <w:szCs w:val="24"/>
          <w:rtl/>
        </w:rPr>
        <w:t xml:space="preserve">בתנאי שהן יוצמדו ויוכפפו באופן מלא </w:t>
      </w:r>
      <w:r w:rsidR="00793476" w:rsidRPr="00285CA9">
        <w:rPr>
          <w:rFonts w:cs="David"/>
          <w:sz w:val="24"/>
          <w:szCs w:val="24"/>
          <w:rtl/>
          <w:rPrChange w:id="10" w:author="תמי סלע" w:date="2018-01-25T12:46:00Z">
            <w:rPr>
              <w:rFonts w:cs="David"/>
              <w:b/>
              <w:bCs/>
              <w:sz w:val="24"/>
              <w:szCs w:val="24"/>
              <w:u w:val="single"/>
              <w:rtl/>
            </w:rPr>
          </w:rPrChange>
        </w:rPr>
        <w:t xml:space="preserve">להצעת </w:t>
      </w:r>
      <w:r w:rsidR="003E3293">
        <w:rPr>
          <w:rFonts w:cs="David" w:hint="cs"/>
          <w:sz w:val="24"/>
          <w:szCs w:val="24"/>
          <w:rtl/>
        </w:rPr>
        <w:t>ה</w:t>
      </w:r>
      <w:r w:rsidR="00793476" w:rsidRPr="00285CA9">
        <w:rPr>
          <w:rFonts w:cs="David"/>
          <w:sz w:val="24"/>
          <w:szCs w:val="24"/>
          <w:rtl/>
          <w:rPrChange w:id="11" w:author="תמי סלע" w:date="2018-01-25T12:46:00Z">
            <w:rPr>
              <w:rFonts w:cs="David"/>
              <w:b/>
              <w:bCs/>
              <w:sz w:val="24"/>
              <w:szCs w:val="24"/>
              <w:u w:val="single"/>
              <w:rtl/>
            </w:rPr>
          </w:rPrChange>
        </w:rPr>
        <w:t xml:space="preserve">חוק הממשלתית אשר </w:t>
      </w:r>
      <w:r>
        <w:rPr>
          <w:rFonts w:cs="David" w:hint="cs"/>
          <w:sz w:val="24"/>
          <w:szCs w:val="24"/>
          <w:rtl/>
        </w:rPr>
        <w:t xml:space="preserve">עוסקת בהתיישנות עבירות ועונשים, </w:t>
      </w:r>
      <w:r w:rsidR="00793476" w:rsidRPr="00285CA9">
        <w:rPr>
          <w:rFonts w:cs="David"/>
          <w:sz w:val="24"/>
          <w:szCs w:val="24"/>
          <w:rtl/>
          <w:rPrChange w:id="12" w:author="תמי סלע" w:date="2018-01-25T12:46:00Z">
            <w:rPr>
              <w:rFonts w:cs="David"/>
              <w:b/>
              <w:bCs/>
              <w:sz w:val="24"/>
              <w:szCs w:val="24"/>
              <w:u w:val="single"/>
              <w:rtl/>
            </w:rPr>
          </w:rPrChange>
        </w:rPr>
        <w:t>נושא</w:t>
      </w:r>
      <w:r>
        <w:rPr>
          <w:rFonts w:cs="David" w:hint="cs"/>
          <w:sz w:val="24"/>
          <w:szCs w:val="24"/>
          <w:rtl/>
        </w:rPr>
        <w:t xml:space="preserve"> אשר עשוי להשפיע גם על משך הליכי החקירה וההעמדה לדין, אך לא </w:t>
      </w:r>
      <w:r w:rsidR="00793476" w:rsidRPr="00285CA9">
        <w:rPr>
          <w:rFonts w:cs="David"/>
          <w:sz w:val="24"/>
          <w:szCs w:val="24"/>
          <w:rtl/>
          <w:rPrChange w:id="13" w:author="תמי סלע" w:date="2018-01-25T12:46:00Z">
            <w:rPr>
              <w:rFonts w:cs="David"/>
              <w:b/>
              <w:bCs/>
              <w:sz w:val="24"/>
              <w:szCs w:val="24"/>
              <w:u w:val="single"/>
              <w:rtl/>
            </w:rPr>
          </w:rPrChange>
        </w:rPr>
        <w:t>נות</w:t>
      </w:r>
      <w:r>
        <w:rPr>
          <w:rFonts w:cs="David" w:hint="cs"/>
          <w:sz w:val="24"/>
          <w:szCs w:val="24"/>
          <w:rtl/>
        </w:rPr>
        <w:t>ן</w:t>
      </w:r>
      <w:r w:rsidR="00793476" w:rsidRPr="00285CA9">
        <w:rPr>
          <w:rFonts w:cs="David"/>
          <w:sz w:val="24"/>
          <w:szCs w:val="24"/>
          <w:rtl/>
          <w:rPrChange w:id="14" w:author="תמי סלע" w:date="2018-01-25T12:46:00Z">
            <w:rPr>
              <w:rFonts w:cs="David"/>
              <w:b/>
              <w:bCs/>
              <w:sz w:val="24"/>
              <w:szCs w:val="24"/>
              <w:u w:val="single"/>
              <w:rtl/>
            </w:rPr>
          </w:rPrChange>
        </w:rPr>
        <w:t xml:space="preserve"> מענה </w:t>
      </w:r>
      <w:r>
        <w:rPr>
          <w:rFonts w:cs="David" w:hint="cs"/>
          <w:sz w:val="24"/>
          <w:szCs w:val="24"/>
          <w:rtl/>
        </w:rPr>
        <w:t xml:space="preserve">ישיר ומלא </w:t>
      </w:r>
      <w:r w:rsidR="00793476" w:rsidRPr="00285CA9">
        <w:rPr>
          <w:rFonts w:cs="David"/>
          <w:sz w:val="24"/>
          <w:szCs w:val="24"/>
          <w:rtl/>
          <w:rPrChange w:id="15" w:author="תמי סלע" w:date="2018-01-25T12:46:00Z">
            <w:rPr>
              <w:rFonts w:cs="David"/>
              <w:b/>
              <w:bCs/>
              <w:sz w:val="24"/>
              <w:szCs w:val="24"/>
              <w:u w:val="single"/>
              <w:rtl/>
            </w:rPr>
          </w:rPrChange>
        </w:rPr>
        <w:t>לבעיה.</w:t>
      </w:r>
    </w:p>
    <w:p w:rsidR="00793476" w:rsidRDefault="00793476" w:rsidP="00793476">
      <w:pPr>
        <w:spacing w:line="276" w:lineRule="auto"/>
        <w:ind w:firstLine="0"/>
        <w:rPr>
          <w:rFonts w:cs="David"/>
          <w:b/>
          <w:bCs/>
          <w:sz w:val="24"/>
          <w:szCs w:val="24"/>
          <w:u w:val="single"/>
          <w:rtl/>
        </w:rPr>
      </w:pPr>
    </w:p>
    <w:p w:rsidR="00D0202B" w:rsidRDefault="008B1FE5" w:rsidP="005A322F">
      <w:pPr>
        <w:spacing w:after="120" w:line="360" w:lineRule="auto"/>
        <w:ind w:firstLine="0"/>
        <w:rPr>
          <w:rFonts w:cs="David"/>
          <w:b/>
          <w:bCs/>
          <w:sz w:val="24"/>
          <w:szCs w:val="24"/>
          <w:u w:val="single"/>
          <w:rtl/>
        </w:rPr>
      </w:pPr>
      <w:r>
        <w:rPr>
          <w:rFonts w:cs="David" w:hint="cs"/>
          <w:b/>
          <w:bCs/>
          <w:sz w:val="24"/>
          <w:szCs w:val="24"/>
          <w:u w:val="single"/>
          <w:rtl/>
        </w:rPr>
        <w:t xml:space="preserve">משך </w:t>
      </w:r>
      <w:r w:rsidR="00C4139D">
        <w:rPr>
          <w:rFonts w:cs="David" w:hint="cs"/>
          <w:b/>
          <w:bCs/>
          <w:sz w:val="24"/>
          <w:szCs w:val="24"/>
          <w:u w:val="single"/>
          <w:rtl/>
        </w:rPr>
        <w:t>ה</w:t>
      </w:r>
      <w:r w:rsidR="00D0202B">
        <w:rPr>
          <w:rFonts w:cs="David" w:hint="cs"/>
          <w:b/>
          <w:bCs/>
          <w:sz w:val="24"/>
          <w:szCs w:val="24"/>
          <w:u w:val="single"/>
          <w:rtl/>
        </w:rPr>
        <w:t xml:space="preserve">חקירה </w:t>
      </w:r>
      <w:r w:rsidR="00C4139D">
        <w:rPr>
          <w:rFonts w:cs="David" w:hint="cs"/>
          <w:b/>
          <w:bCs/>
          <w:sz w:val="24"/>
          <w:szCs w:val="24"/>
          <w:u w:val="single"/>
          <w:rtl/>
        </w:rPr>
        <w:t xml:space="preserve">המשטרתית </w:t>
      </w:r>
      <w:r w:rsidR="00D0202B">
        <w:rPr>
          <w:rFonts w:cs="David" w:hint="cs"/>
          <w:b/>
          <w:bCs/>
          <w:sz w:val="24"/>
          <w:szCs w:val="24"/>
          <w:u w:val="single"/>
          <w:rtl/>
        </w:rPr>
        <w:t>ו</w:t>
      </w:r>
      <w:r>
        <w:rPr>
          <w:rFonts w:cs="David" w:hint="cs"/>
          <w:b/>
          <w:bCs/>
          <w:sz w:val="24"/>
          <w:szCs w:val="24"/>
          <w:u w:val="single"/>
          <w:rtl/>
        </w:rPr>
        <w:t xml:space="preserve">טיפול התביעה עד להחלטה על </w:t>
      </w:r>
      <w:r w:rsidR="00D0202B">
        <w:rPr>
          <w:rFonts w:cs="David" w:hint="cs"/>
          <w:b/>
          <w:bCs/>
          <w:sz w:val="24"/>
          <w:szCs w:val="24"/>
          <w:u w:val="single"/>
          <w:rtl/>
        </w:rPr>
        <w:t xml:space="preserve">העמדה לדין </w:t>
      </w:r>
      <w:r w:rsidR="005A322F">
        <w:rPr>
          <w:rFonts w:cs="David"/>
          <w:b/>
          <w:bCs/>
          <w:sz w:val="24"/>
          <w:szCs w:val="24"/>
          <w:u w:val="single"/>
          <w:rtl/>
        </w:rPr>
        <w:t>–</w:t>
      </w:r>
      <w:r w:rsidR="005A322F">
        <w:rPr>
          <w:rFonts w:cs="David" w:hint="cs"/>
          <w:b/>
          <w:bCs/>
          <w:sz w:val="24"/>
          <w:szCs w:val="24"/>
          <w:u w:val="single"/>
          <w:rtl/>
        </w:rPr>
        <w:t xml:space="preserve"> רקע כללי </w:t>
      </w:r>
    </w:p>
    <w:p w:rsidR="00D0202B" w:rsidRDefault="00C4139D" w:rsidP="008164E4">
      <w:pPr>
        <w:pStyle w:val="a7"/>
        <w:numPr>
          <w:ilvl w:val="0"/>
          <w:numId w:val="11"/>
        </w:numPr>
        <w:spacing w:after="120" w:line="360" w:lineRule="auto"/>
        <w:rPr>
          <w:rFonts w:cs="David"/>
          <w:color w:val="auto"/>
          <w:sz w:val="24"/>
          <w:szCs w:val="24"/>
        </w:rPr>
      </w:pPr>
      <w:r w:rsidRPr="00515F22">
        <w:rPr>
          <w:rFonts w:cs="David" w:hint="cs"/>
          <w:color w:val="auto"/>
          <w:sz w:val="24"/>
          <w:szCs w:val="24"/>
          <w:rtl/>
        </w:rPr>
        <w:t xml:space="preserve">חוק סדר הדין הפלילי [נוסח משולב], התשמ"ב-1982 הוא החוק העיקרי העוסק בהליכי חקירה והעמדה לדין. ככלל, </w:t>
      </w:r>
      <w:r w:rsidR="008B1FE5" w:rsidRPr="00515F22">
        <w:rPr>
          <w:rFonts w:cs="David" w:hint="cs"/>
          <w:color w:val="auto"/>
          <w:sz w:val="24"/>
          <w:szCs w:val="24"/>
          <w:rtl/>
        </w:rPr>
        <w:t xml:space="preserve">החקיקה בישראל אינה קובעת כיום מגבלות על משך החקירה המשטרתית או על תקופת טיפול התביעה בתיק עד לקבלת החלטה על הגשת כתב אישום או החלטה אחרת. </w:t>
      </w:r>
    </w:p>
    <w:p w:rsidR="00751D42" w:rsidRDefault="00751D42" w:rsidP="00C25249">
      <w:pPr>
        <w:pStyle w:val="a7"/>
        <w:numPr>
          <w:ilvl w:val="0"/>
          <w:numId w:val="11"/>
        </w:numPr>
        <w:spacing w:after="120" w:line="360" w:lineRule="auto"/>
        <w:rPr>
          <w:rFonts w:cs="David"/>
          <w:color w:val="auto"/>
          <w:sz w:val="24"/>
          <w:szCs w:val="24"/>
        </w:rPr>
      </w:pPr>
      <w:r w:rsidRPr="00515F22">
        <w:rPr>
          <w:rFonts w:cs="David" w:hint="cs"/>
          <w:color w:val="auto"/>
          <w:sz w:val="24"/>
          <w:szCs w:val="24"/>
          <w:rtl/>
        </w:rPr>
        <w:t xml:space="preserve">מספר </w:t>
      </w:r>
      <w:r w:rsidR="00515F22" w:rsidRPr="00515F22">
        <w:rPr>
          <w:rFonts w:cs="David" w:hint="cs"/>
          <w:color w:val="auto"/>
          <w:sz w:val="24"/>
          <w:szCs w:val="24"/>
          <w:rtl/>
        </w:rPr>
        <w:t xml:space="preserve">קטן של </w:t>
      </w:r>
      <w:r w:rsidRPr="00515F22">
        <w:rPr>
          <w:rFonts w:cs="David" w:hint="cs"/>
          <w:color w:val="auto"/>
          <w:sz w:val="24"/>
          <w:szCs w:val="24"/>
          <w:rtl/>
        </w:rPr>
        <w:t xml:space="preserve">הוראות חוק מטילות מגבלות </w:t>
      </w:r>
      <w:r w:rsidR="00C4139D" w:rsidRPr="00515F22">
        <w:rPr>
          <w:rFonts w:cs="David" w:hint="cs"/>
          <w:color w:val="auto"/>
          <w:sz w:val="24"/>
          <w:szCs w:val="24"/>
          <w:rtl/>
        </w:rPr>
        <w:t xml:space="preserve">נקודתיות </w:t>
      </w:r>
      <w:r w:rsidRPr="00515F22">
        <w:rPr>
          <w:rFonts w:cs="David" w:hint="cs"/>
          <w:color w:val="auto"/>
          <w:sz w:val="24"/>
          <w:szCs w:val="24"/>
          <w:rtl/>
        </w:rPr>
        <w:t xml:space="preserve">על העמדה לדין או על נקיטת </w:t>
      </w:r>
      <w:r w:rsidRPr="00515F22">
        <w:rPr>
          <w:rFonts w:cs="David" w:hint="cs"/>
          <w:color w:val="auto"/>
          <w:sz w:val="24"/>
          <w:szCs w:val="24"/>
          <w:rtl/>
        </w:rPr>
        <w:lastRenderedPageBreak/>
        <w:t>הליכים</w:t>
      </w:r>
      <w:r w:rsidR="005A322F">
        <w:rPr>
          <w:rFonts w:cs="David" w:hint="cs"/>
          <w:color w:val="auto"/>
          <w:sz w:val="24"/>
          <w:szCs w:val="24"/>
          <w:rtl/>
        </w:rPr>
        <w:t xml:space="preserve"> (להרחבה ראו נספח </w:t>
      </w:r>
      <w:r w:rsidR="00C25249">
        <w:rPr>
          <w:rFonts w:cs="David" w:hint="cs"/>
          <w:color w:val="auto"/>
          <w:sz w:val="24"/>
          <w:szCs w:val="24"/>
          <w:rtl/>
        </w:rPr>
        <w:t>א</w:t>
      </w:r>
      <w:r w:rsidR="005A322F">
        <w:rPr>
          <w:rFonts w:cs="David" w:hint="cs"/>
          <w:color w:val="auto"/>
          <w:sz w:val="24"/>
          <w:szCs w:val="24"/>
          <w:rtl/>
        </w:rPr>
        <w:t xml:space="preserve">'). </w:t>
      </w:r>
    </w:p>
    <w:p w:rsidR="006E6BAC" w:rsidRPr="00515F22" w:rsidRDefault="00C4139D" w:rsidP="008164E4">
      <w:pPr>
        <w:pStyle w:val="a7"/>
        <w:numPr>
          <w:ilvl w:val="0"/>
          <w:numId w:val="11"/>
        </w:numPr>
        <w:spacing w:after="120" w:line="360" w:lineRule="auto"/>
        <w:rPr>
          <w:rFonts w:cs="David"/>
          <w:color w:val="auto"/>
          <w:sz w:val="24"/>
          <w:szCs w:val="24"/>
          <w:rtl/>
        </w:rPr>
      </w:pPr>
      <w:r w:rsidRPr="00515F22">
        <w:rPr>
          <w:rFonts w:cs="David" w:hint="cs"/>
          <w:color w:val="auto"/>
          <w:sz w:val="24"/>
          <w:szCs w:val="24"/>
          <w:rtl/>
        </w:rPr>
        <w:t>לצד זאת</w:t>
      </w:r>
      <w:r w:rsidR="008B1FE5" w:rsidRPr="00515F22">
        <w:rPr>
          <w:rFonts w:cs="David" w:hint="cs"/>
          <w:color w:val="auto"/>
          <w:sz w:val="24"/>
          <w:szCs w:val="24"/>
          <w:rtl/>
        </w:rPr>
        <w:t xml:space="preserve">, רשויות החקירה והתביעה בישראל מכירות בחשיבות </w:t>
      </w:r>
      <w:r w:rsidR="00751D42" w:rsidRPr="00515F22">
        <w:rPr>
          <w:rFonts w:cs="David" w:hint="cs"/>
          <w:color w:val="auto"/>
          <w:sz w:val="24"/>
          <w:szCs w:val="24"/>
          <w:rtl/>
        </w:rPr>
        <w:t xml:space="preserve">הרבה </w:t>
      </w:r>
      <w:r w:rsidR="008B1FE5" w:rsidRPr="00515F22">
        <w:rPr>
          <w:rFonts w:cs="David" w:hint="cs"/>
          <w:color w:val="auto"/>
          <w:sz w:val="24"/>
          <w:szCs w:val="24"/>
          <w:rtl/>
        </w:rPr>
        <w:t xml:space="preserve">של ניהול הליכים פליליים במהירות וביעילות </w:t>
      </w:r>
      <w:r w:rsidR="006E6BAC" w:rsidRPr="00515F22">
        <w:rPr>
          <w:rFonts w:cs="David" w:hint="cs"/>
          <w:color w:val="auto"/>
          <w:sz w:val="24"/>
          <w:szCs w:val="24"/>
          <w:rtl/>
        </w:rPr>
        <w:t xml:space="preserve">מכמה היבטים: </w:t>
      </w:r>
    </w:p>
    <w:p w:rsidR="006E6BAC" w:rsidRDefault="00D76F4B" w:rsidP="008164E4">
      <w:pPr>
        <w:pStyle w:val="a7"/>
        <w:numPr>
          <w:ilvl w:val="0"/>
          <w:numId w:val="3"/>
        </w:numPr>
        <w:spacing w:after="120" w:line="360" w:lineRule="auto"/>
        <w:ind w:left="1013" w:hanging="280"/>
        <w:rPr>
          <w:rFonts w:cs="David"/>
          <w:color w:val="auto"/>
          <w:sz w:val="24"/>
          <w:szCs w:val="24"/>
        </w:rPr>
      </w:pPr>
      <w:r>
        <w:rPr>
          <w:rFonts w:cs="David" w:hint="cs"/>
          <w:b/>
          <w:bCs/>
          <w:color w:val="auto"/>
          <w:sz w:val="24"/>
          <w:szCs w:val="24"/>
          <w:rtl/>
        </w:rPr>
        <w:t xml:space="preserve">השגת מטרות </w:t>
      </w:r>
      <w:r w:rsidR="008B1FE5" w:rsidRPr="00D76F4B">
        <w:rPr>
          <w:rFonts w:cs="David" w:hint="cs"/>
          <w:b/>
          <w:bCs/>
          <w:color w:val="auto"/>
          <w:sz w:val="24"/>
          <w:szCs w:val="24"/>
          <w:rtl/>
        </w:rPr>
        <w:t>ההליך הפלילי</w:t>
      </w:r>
      <w:r w:rsidR="006E6BAC">
        <w:rPr>
          <w:rFonts w:cs="David" w:hint="cs"/>
          <w:color w:val="auto"/>
          <w:sz w:val="24"/>
          <w:szCs w:val="24"/>
          <w:rtl/>
        </w:rPr>
        <w:t xml:space="preserve"> </w:t>
      </w:r>
      <w:r w:rsidR="00515F22">
        <w:rPr>
          <w:rFonts w:cs="David"/>
          <w:color w:val="auto"/>
          <w:sz w:val="24"/>
          <w:szCs w:val="24"/>
          <w:rtl/>
        </w:rPr>
        <w:t>–</w:t>
      </w:r>
      <w:r w:rsidR="00515F22">
        <w:rPr>
          <w:rFonts w:cs="David" w:hint="cs"/>
          <w:color w:val="auto"/>
          <w:sz w:val="24"/>
          <w:szCs w:val="24"/>
          <w:rtl/>
        </w:rPr>
        <w:t xml:space="preserve"> </w:t>
      </w:r>
      <w:r>
        <w:rPr>
          <w:rFonts w:cs="David" w:hint="cs"/>
          <w:color w:val="auto"/>
          <w:sz w:val="24"/>
          <w:szCs w:val="24"/>
          <w:rtl/>
        </w:rPr>
        <w:t xml:space="preserve">מחקרים קרימינולוגים מלמדים כי </w:t>
      </w:r>
      <w:r w:rsidR="00515F22">
        <w:rPr>
          <w:rFonts w:cs="David" w:hint="cs"/>
          <w:color w:val="auto"/>
          <w:sz w:val="24"/>
          <w:szCs w:val="24"/>
          <w:rtl/>
        </w:rPr>
        <w:t>תגובה חברתית מהירה ויעילה משפיעה</w:t>
      </w:r>
      <w:r>
        <w:rPr>
          <w:rFonts w:cs="David" w:hint="cs"/>
          <w:color w:val="auto"/>
          <w:sz w:val="24"/>
          <w:szCs w:val="24"/>
          <w:rtl/>
        </w:rPr>
        <w:t>,</w:t>
      </w:r>
      <w:r w:rsidR="00515F22">
        <w:rPr>
          <w:rFonts w:cs="David" w:hint="cs"/>
          <w:color w:val="auto"/>
          <w:sz w:val="24"/>
          <w:szCs w:val="24"/>
          <w:rtl/>
        </w:rPr>
        <w:t xml:space="preserve"> אף יותר מחומרת העונש</w:t>
      </w:r>
      <w:r>
        <w:rPr>
          <w:rFonts w:cs="David" w:hint="cs"/>
          <w:color w:val="auto"/>
          <w:sz w:val="24"/>
          <w:szCs w:val="24"/>
          <w:rtl/>
        </w:rPr>
        <w:t>,</w:t>
      </w:r>
      <w:r w:rsidR="00515F22">
        <w:rPr>
          <w:rFonts w:cs="David" w:hint="cs"/>
          <w:color w:val="auto"/>
          <w:sz w:val="24"/>
          <w:szCs w:val="24"/>
          <w:rtl/>
        </w:rPr>
        <w:t xml:space="preserve"> על השגת המטרות של הרתעה וחינוך הציבור.  </w:t>
      </w:r>
    </w:p>
    <w:p w:rsidR="006E6BAC" w:rsidRDefault="008B1FE5" w:rsidP="008164E4">
      <w:pPr>
        <w:pStyle w:val="a7"/>
        <w:numPr>
          <w:ilvl w:val="0"/>
          <w:numId w:val="3"/>
        </w:numPr>
        <w:spacing w:after="120" w:line="360" w:lineRule="auto"/>
        <w:ind w:left="1013" w:hanging="280"/>
        <w:rPr>
          <w:rFonts w:cs="David"/>
          <w:color w:val="auto"/>
          <w:sz w:val="24"/>
          <w:szCs w:val="24"/>
        </w:rPr>
      </w:pPr>
      <w:r w:rsidRPr="00D76F4B">
        <w:rPr>
          <w:rFonts w:cs="David" w:hint="cs"/>
          <w:b/>
          <w:bCs/>
          <w:color w:val="auto"/>
          <w:sz w:val="24"/>
          <w:szCs w:val="24"/>
          <w:rtl/>
        </w:rPr>
        <w:t>הוגנות ההליך</w:t>
      </w:r>
      <w:r w:rsidR="005A322F">
        <w:rPr>
          <w:rFonts w:cs="David" w:hint="cs"/>
          <w:b/>
          <w:bCs/>
          <w:color w:val="auto"/>
          <w:sz w:val="24"/>
          <w:szCs w:val="24"/>
          <w:rtl/>
        </w:rPr>
        <w:t xml:space="preserve"> המשפטי</w:t>
      </w:r>
      <w:r w:rsidR="006E6BAC">
        <w:rPr>
          <w:rFonts w:cs="David" w:hint="cs"/>
          <w:color w:val="auto"/>
          <w:sz w:val="24"/>
          <w:szCs w:val="24"/>
          <w:rtl/>
        </w:rPr>
        <w:t xml:space="preserve"> </w:t>
      </w:r>
      <w:r w:rsidR="006E6BAC">
        <w:rPr>
          <w:rFonts w:cs="David"/>
          <w:color w:val="auto"/>
          <w:sz w:val="24"/>
          <w:szCs w:val="24"/>
          <w:rtl/>
        </w:rPr>
        <w:t>–</w:t>
      </w:r>
      <w:r w:rsidR="006E6BAC">
        <w:rPr>
          <w:rFonts w:cs="David" w:hint="cs"/>
          <w:color w:val="auto"/>
          <w:sz w:val="24"/>
          <w:szCs w:val="24"/>
          <w:rtl/>
        </w:rPr>
        <w:t xml:space="preserve"> </w:t>
      </w:r>
      <w:r w:rsidR="00515F22">
        <w:rPr>
          <w:rFonts w:cs="David" w:hint="cs"/>
          <w:color w:val="auto"/>
          <w:sz w:val="24"/>
          <w:szCs w:val="24"/>
          <w:rtl/>
        </w:rPr>
        <w:t xml:space="preserve">חלוף הזמן מביצוע העבירה כרוך באובדן מסמכים ובטשטוש </w:t>
      </w:r>
      <w:r w:rsidR="00D76F4B">
        <w:rPr>
          <w:rFonts w:cs="David" w:hint="cs"/>
          <w:color w:val="auto"/>
          <w:sz w:val="24"/>
          <w:szCs w:val="24"/>
          <w:rtl/>
        </w:rPr>
        <w:t xml:space="preserve">הזכרון </w:t>
      </w:r>
      <w:r w:rsidR="00515F22">
        <w:rPr>
          <w:rFonts w:cs="David" w:hint="cs"/>
          <w:color w:val="auto"/>
          <w:sz w:val="24"/>
          <w:szCs w:val="24"/>
          <w:rtl/>
        </w:rPr>
        <w:t xml:space="preserve">ולעתים אף </w:t>
      </w:r>
      <w:r w:rsidR="00D76F4B">
        <w:rPr>
          <w:rFonts w:cs="David" w:hint="cs"/>
          <w:color w:val="auto"/>
          <w:sz w:val="24"/>
          <w:szCs w:val="24"/>
          <w:rtl/>
        </w:rPr>
        <w:t>ב</w:t>
      </w:r>
      <w:r w:rsidR="00515F22">
        <w:rPr>
          <w:rFonts w:cs="David" w:hint="cs"/>
          <w:color w:val="auto"/>
          <w:sz w:val="24"/>
          <w:szCs w:val="24"/>
          <w:rtl/>
        </w:rPr>
        <w:t>עיוות הזכרון. הדבר פוגע ב</w:t>
      </w:r>
      <w:r w:rsidR="006E6BAC">
        <w:rPr>
          <w:rFonts w:cs="David" w:hint="cs"/>
          <w:color w:val="auto"/>
          <w:sz w:val="24"/>
          <w:szCs w:val="24"/>
          <w:rtl/>
        </w:rPr>
        <w:t xml:space="preserve">יכולת של </w:t>
      </w:r>
      <w:r w:rsidR="00515F22">
        <w:rPr>
          <w:rFonts w:cs="David" w:hint="cs"/>
          <w:color w:val="auto"/>
          <w:sz w:val="24"/>
          <w:szCs w:val="24"/>
          <w:rtl/>
        </w:rPr>
        <w:t>בית המשפט</w:t>
      </w:r>
      <w:r w:rsidR="006E6BAC">
        <w:rPr>
          <w:rFonts w:cs="David" w:hint="cs"/>
          <w:color w:val="auto"/>
          <w:sz w:val="24"/>
          <w:szCs w:val="24"/>
          <w:rtl/>
        </w:rPr>
        <w:t xml:space="preserve"> לברר את האמת ו</w:t>
      </w:r>
      <w:r w:rsidR="00515F22">
        <w:rPr>
          <w:rFonts w:cs="David" w:hint="cs"/>
          <w:color w:val="auto"/>
          <w:sz w:val="24"/>
          <w:szCs w:val="24"/>
          <w:rtl/>
        </w:rPr>
        <w:t>ב</w:t>
      </w:r>
      <w:r w:rsidR="006E6BAC">
        <w:rPr>
          <w:rFonts w:cs="David" w:hint="cs"/>
          <w:color w:val="auto"/>
          <w:sz w:val="24"/>
          <w:szCs w:val="24"/>
          <w:rtl/>
        </w:rPr>
        <w:t>יכולתו של הנאשם להתגונן</w:t>
      </w:r>
      <w:r w:rsidR="00515F22">
        <w:rPr>
          <w:rFonts w:cs="David" w:hint="cs"/>
          <w:color w:val="auto"/>
          <w:sz w:val="24"/>
          <w:szCs w:val="24"/>
          <w:rtl/>
        </w:rPr>
        <w:t xml:space="preserve">. </w:t>
      </w:r>
    </w:p>
    <w:p w:rsidR="00D76F4B" w:rsidRDefault="00C4139D" w:rsidP="008164E4">
      <w:pPr>
        <w:pStyle w:val="a7"/>
        <w:numPr>
          <w:ilvl w:val="0"/>
          <w:numId w:val="3"/>
        </w:numPr>
        <w:spacing w:after="120" w:line="360" w:lineRule="auto"/>
        <w:ind w:left="1013" w:hanging="280"/>
        <w:rPr>
          <w:rFonts w:cs="David"/>
          <w:color w:val="auto"/>
          <w:sz w:val="24"/>
          <w:szCs w:val="24"/>
        </w:rPr>
      </w:pPr>
      <w:r w:rsidRPr="00D76F4B">
        <w:rPr>
          <w:rFonts w:cs="David" w:hint="cs"/>
          <w:b/>
          <w:bCs/>
          <w:color w:val="auto"/>
          <w:sz w:val="24"/>
          <w:szCs w:val="24"/>
          <w:rtl/>
        </w:rPr>
        <w:t xml:space="preserve">שמירת </w:t>
      </w:r>
      <w:r w:rsidR="00306C6E" w:rsidRPr="00D76F4B">
        <w:rPr>
          <w:rFonts w:cs="David" w:hint="cs"/>
          <w:b/>
          <w:bCs/>
          <w:color w:val="auto"/>
          <w:sz w:val="24"/>
          <w:szCs w:val="24"/>
          <w:rtl/>
        </w:rPr>
        <w:t>אמון הציבור במערכת אכיפת החוק</w:t>
      </w:r>
      <w:r w:rsidR="00D76F4B">
        <w:rPr>
          <w:rFonts w:cs="David" w:hint="cs"/>
          <w:color w:val="auto"/>
          <w:sz w:val="24"/>
          <w:szCs w:val="24"/>
          <w:rtl/>
        </w:rPr>
        <w:t xml:space="preserve"> </w:t>
      </w:r>
      <w:r w:rsidR="00D76F4B">
        <w:rPr>
          <w:rFonts w:cs="David"/>
          <w:color w:val="auto"/>
          <w:sz w:val="24"/>
          <w:szCs w:val="24"/>
          <w:rtl/>
        </w:rPr>
        <w:t>–</w:t>
      </w:r>
      <w:r w:rsidR="00D76F4B">
        <w:rPr>
          <w:rFonts w:cs="David" w:hint="cs"/>
          <w:color w:val="auto"/>
          <w:sz w:val="24"/>
          <w:szCs w:val="24"/>
          <w:rtl/>
        </w:rPr>
        <w:t xml:space="preserve"> ניהול הליכי חקירה במהירות ועל פי סדר עדיפות אובייקטיבי, תוך הימנעות מסחבת, מחזק את האמון בכך שהרשויות פועלות מטעמים ענייניים ועל פי אמות מידה שוויוניות, תוך הבנת כובד אחריותן בניהול הליכים פליליים.</w:t>
      </w:r>
      <w:r w:rsidR="008B1FE5" w:rsidRPr="006E6BAC">
        <w:rPr>
          <w:rFonts w:cs="David" w:hint="cs"/>
          <w:color w:val="auto"/>
          <w:sz w:val="24"/>
          <w:szCs w:val="24"/>
          <w:rtl/>
        </w:rPr>
        <w:t xml:space="preserve"> </w:t>
      </w:r>
    </w:p>
    <w:p w:rsidR="00D76F4B" w:rsidRDefault="00C4139D" w:rsidP="008164E4">
      <w:pPr>
        <w:pStyle w:val="a7"/>
        <w:numPr>
          <w:ilvl w:val="0"/>
          <w:numId w:val="3"/>
        </w:numPr>
        <w:spacing w:after="120" w:line="360" w:lineRule="auto"/>
        <w:ind w:left="1013" w:hanging="280"/>
        <w:rPr>
          <w:rFonts w:cs="David"/>
          <w:color w:val="auto"/>
          <w:sz w:val="24"/>
          <w:szCs w:val="24"/>
        </w:rPr>
      </w:pPr>
      <w:r w:rsidRPr="00D76F4B">
        <w:rPr>
          <w:rFonts w:cs="David" w:hint="cs"/>
          <w:b/>
          <w:bCs/>
          <w:color w:val="auto"/>
          <w:sz w:val="24"/>
          <w:szCs w:val="24"/>
          <w:rtl/>
        </w:rPr>
        <w:t xml:space="preserve">צמצום </w:t>
      </w:r>
      <w:r w:rsidR="008B1FE5" w:rsidRPr="00D76F4B">
        <w:rPr>
          <w:rFonts w:cs="David" w:hint="cs"/>
          <w:b/>
          <w:bCs/>
          <w:color w:val="auto"/>
          <w:sz w:val="24"/>
          <w:szCs w:val="24"/>
          <w:rtl/>
        </w:rPr>
        <w:t xml:space="preserve">הפגיעה </w:t>
      </w:r>
      <w:r w:rsidR="008936D7" w:rsidRPr="00D76F4B">
        <w:rPr>
          <w:rFonts w:cs="David" w:hint="cs"/>
          <w:b/>
          <w:bCs/>
          <w:color w:val="auto"/>
          <w:sz w:val="24"/>
          <w:szCs w:val="24"/>
          <w:rtl/>
        </w:rPr>
        <w:t xml:space="preserve">בחשוד </w:t>
      </w:r>
      <w:r w:rsidR="008B1FE5" w:rsidRPr="00D76F4B">
        <w:rPr>
          <w:rFonts w:cs="David" w:hint="cs"/>
          <w:b/>
          <w:bCs/>
          <w:color w:val="auto"/>
          <w:sz w:val="24"/>
          <w:szCs w:val="24"/>
          <w:rtl/>
        </w:rPr>
        <w:t>ועינוי הדין הכרוכ</w:t>
      </w:r>
      <w:r w:rsidR="008936D7" w:rsidRPr="00D76F4B">
        <w:rPr>
          <w:rFonts w:cs="David" w:hint="cs"/>
          <w:b/>
          <w:bCs/>
          <w:color w:val="auto"/>
          <w:sz w:val="24"/>
          <w:szCs w:val="24"/>
          <w:rtl/>
        </w:rPr>
        <w:t>ים</w:t>
      </w:r>
      <w:r w:rsidR="008B1FE5" w:rsidRPr="00D76F4B">
        <w:rPr>
          <w:rFonts w:cs="David" w:hint="cs"/>
          <w:b/>
          <w:bCs/>
          <w:color w:val="auto"/>
          <w:sz w:val="24"/>
          <w:szCs w:val="24"/>
          <w:rtl/>
        </w:rPr>
        <w:t xml:space="preserve"> בהתמשכות ההליכים</w:t>
      </w:r>
      <w:r w:rsidR="00D76F4B" w:rsidRPr="00D76F4B">
        <w:rPr>
          <w:rFonts w:cs="David" w:hint="cs"/>
          <w:color w:val="auto"/>
          <w:sz w:val="24"/>
          <w:szCs w:val="24"/>
          <w:rtl/>
        </w:rPr>
        <w:t xml:space="preserve"> </w:t>
      </w:r>
      <w:r w:rsidR="00D76F4B" w:rsidRPr="00D76F4B">
        <w:rPr>
          <w:rFonts w:cs="David"/>
          <w:color w:val="auto"/>
          <w:sz w:val="24"/>
          <w:szCs w:val="24"/>
          <w:rtl/>
        </w:rPr>
        <w:t>–</w:t>
      </w:r>
      <w:r w:rsidR="00D76F4B" w:rsidRPr="00D76F4B">
        <w:rPr>
          <w:rFonts w:cs="David" w:hint="cs"/>
          <w:color w:val="auto"/>
          <w:sz w:val="24"/>
          <w:szCs w:val="24"/>
          <w:rtl/>
        </w:rPr>
        <w:t xml:space="preserve"> קיומו של הליך פלילי תלוי ועומד עשוי לפגוע</w:t>
      </w:r>
      <w:r w:rsidR="005A322F">
        <w:rPr>
          <w:rFonts w:cs="David" w:hint="cs"/>
          <w:color w:val="auto"/>
          <w:sz w:val="24"/>
          <w:szCs w:val="24"/>
          <w:rtl/>
        </w:rPr>
        <w:t>, ובמקרים רבים פוגע,</w:t>
      </w:r>
      <w:r w:rsidR="00D76F4B" w:rsidRPr="00D76F4B">
        <w:rPr>
          <w:rFonts w:cs="David" w:hint="cs"/>
          <w:color w:val="auto"/>
          <w:sz w:val="24"/>
          <w:szCs w:val="24"/>
          <w:rtl/>
        </w:rPr>
        <w:t xml:space="preserve"> בתחומי חיים רבים של החשוד </w:t>
      </w:r>
      <w:r w:rsidR="00D76F4B">
        <w:rPr>
          <w:rFonts w:cs="David" w:hint="cs"/>
          <w:color w:val="auto"/>
          <w:sz w:val="24"/>
          <w:szCs w:val="24"/>
          <w:rtl/>
        </w:rPr>
        <w:t xml:space="preserve">ובכלל זה </w:t>
      </w:r>
      <w:r w:rsidR="00D76F4B" w:rsidRPr="00D76F4B">
        <w:rPr>
          <w:rFonts w:cs="David" w:hint="cs"/>
          <w:color w:val="auto"/>
          <w:sz w:val="24"/>
          <w:szCs w:val="24"/>
          <w:rtl/>
        </w:rPr>
        <w:t>בפרנסתו, בכבודו, ביחסיו עם סביבתו ועם משפחתו ועד פגיעה רגשית ונפשית</w:t>
      </w:r>
      <w:r w:rsidR="008B1FE5" w:rsidRPr="00D76F4B">
        <w:rPr>
          <w:rFonts w:cs="David" w:hint="cs"/>
          <w:color w:val="auto"/>
          <w:sz w:val="24"/>
          <w:szCs w:val="24"/>
          <w:rtl/>
        </w:rPr>
        <w:t>.</w:t>
      </w:r>
      <w:r w:rsidR="00D76F4B">
        <w:rPr>
          <w:rFonts w:cs="David" w:hint="cs"/>
          <w:color w:val="auto"/>
          <w:sz w:val="24"/>
          <w:szCs w:val="24"/>
          <w:rtl/>
        </w:rPr>
        <w:t xml:space="preserve"> על הרשויות לפעול באופן שיצמצם את מש</w:t>
      </w:r>
      <w:r w:rsidR="005A322F">
        <w:rPr>
          <w:rFonts w:cs="David" w:hint="cs"/>
          <w:color w:val="auto"/>
          <w:sz w:val="24"/>
          <w:szCs w:val="24"/>
          <w:rtl/>
        </w:rPr>
        <w:t xml:space="preserve">כה של </w:t>
      </w:r>
      <w:r w:rsidR="00D76F4B">
        <w:rPr>
          <w:rFonts w:cs="David" w:hint="cs"/>
          <w:color w:val="auto"/>
          <w:sz w:val="24"/>
          <w:szCs w:val="24"/>
          <w:rtl/>
        </w:rPr>
        <w:t>תקופ</w:t>
      </w:r>
      <w:r w:rsidR="005A322F">
        <w:rPr>
          <w:rFonts w:cs="David" w:hint="cs"/>
          <w:color w:val="auto"/>
          <w:sz w:val="24"/>
          <w:szCs w:val="24"/>
          <w:rtl/>
        </w:rPr>
        <w:t xml:space="preserve">ת </w:t>
      </w:r>
      <w:r w:rsidR="00D76F4B">
        <w:rPr>
          <w:rFonts w:cs="David" w:hint="cs"/>
          <w:color w:val="auto"/>
          <w:sz w:val="24"/>
          <w:szCs w:val="24"/>
          <w:rtl/>
        </w:rPr>
        <w:t>אי הוודאות שב</w:t>
      </w:r>
      <w:r w:rsidR="005A322F">
        <w:rPr>
          <w:rFonts w:cs="David" w:hint="cs"/>
          <w:color w:val="auto"/>
          <w:sz w:val="24"/>
          <w:szCs w:val="24"/>
          <w:rtl/>
        </w:rPr>
        <w:t>ה</w:t>
      </w:r>
      <w:r w:rsidR="00D76F4B">
        <w:rPr>
          <w:rFonts w:cs="David" w:hint="cs"/>
          <w:color w:val="auto"/>
          <w:sz w:val="24"/>
          <w:szCs w:val="24"/>
          <w:rtl/>
        </w:rPr>
        <w:t xml:space="preserve"> החשוד נפגע עוד בטרם הוחלט על הגשת כתב אישום ובטרם הוכחה אשמתו</w:t>
      </w:r>
      <w:r w:rsidR="005A322F">
        <w:rPr>
          <w:rFonts w:cs="David" w:hint="cs"/>
          <w:color w:val="auto"/>
          <w:sz w:val="24"/>
          <w:szCs w:val="24"/>
          <w:rtl/>
        </w:rPr>
        <w:t>.</w:t>
      </w:r>
      <w:r w:rsidR="00D76F4B">
        <w:rPr>
          <w:rFonts w:cs="David" w:hint="cs"/>
          <w:color w:val="auto"/>
          <w:sz w:val="24"/>
          <w:szCs w:val="24"/>
          <w:rtl/>
        </w:rPr>
        <w:t xml:space="preserve"> </w:t>
      </w:r>
    </w:p>
    <w:p w:rsidR="00167731" w:rsidRDefault="00021A13" w:rsidP="008164E4">
      <w:pPr>
        <w:pStyle w:val="a7"/>
        <w:numPr>
          <w:ilvl w:val="0"/>
          <w:numId w:val="11"/>
        </w:numPr>
        <w:spacing w:after="120" w:line="360" w:lineRule="auto"/>
        <w:rPr>
          <w:rFonts w:cs="David"/>
          <w:color w:val="auto"/>
          <w:sz w:val="24"/>
          <w:szCs w:val="24"/>
        </w:rPr>
      </w:pPr>
      <w:r>
        <w:rPr>
          <w:rFonts w:cs="David" w:hint="cs"/>
          <w:color w:val="auto"/>
          <w:sz w:val="24"/>
          <w:szCs w:val="24"/>
          <w:rtl/>
        </w:rPr>
        <w:t>כמובן ש</w:t>
      </w:r>
      <w:r w:rsidR="00167731">
        <w:rPr>
          <w:rFonts w:cs="David" w:hint="cs"/>
          <w:color w:val="auto"/>
          <w:sz w:val="24"/>
          <w:szCs w:val="24"/>
          <w:rtl/>
        </w:rPr>
        <w:t xml:space="preserve">השיקולים המצדיקים </w:t>
      </w:r>
      <w:r w:rsidR="00167731" w:rsidRPr="00515F22">
        <w:rPr>
          <w:rFonts w:cs="David" w:hint="cs"/>
          <w:color w:val="auto"/>
          <w:sz w:val="24"/>
          <w:szCs w:val="24"/>
          <w:rtl/>
        </w:rPr>
        <w:t>ניהול הליכים פליליים במהירות וביעילות</w:t>
      </w:r>
      <w:r w:rsidR="00167731">
        <w:rPr>
          <w:rFonts w:cs="David" w:hint="cs"/>
          <w:color w:val="auto"/>
          <w:sz w:val="24"/>
          <w:szCs w:val="24"/>
          <w:rtl/>
        </w:rPr>
        <w:t xml:space="preserve"> </w:t>
      </w:r>
      <w:r>
        <w:rPr>
          <w:rFonts w:cs="David" w:hint="cs"/>
          <w:color w:val="auto"/>
          <w:sz w:val="24"/>
          <w:szCs w:val="24"/>
          <w:rtl/>
        </w:rPr>
        <w:t xml:space="preserve">אינם חזות הכל, ויש לאזנם </w:t>
      </w:r>
      <w:r w:rsidR="00C452B3">
        <w:rPr>
          <w:rFonts w:cs="David" w:hint="cs"/>
          <w:color w:val="auto"/>
          <w:sz w:val="24"/>
          <w:szCs w:val="24"/>
          <w:rtl/>
        </w:rPr>
        <w:t>מול שיקולים אחרים המצדיקים</w:t>
      </w:r>
      <w:r>
        <w:rPr>
          <w:rFonts w:cs="David" w:hint="cs"/>
          <w:color w:val="auto"/>
          <w:sz w:val="24"/>
          <w:szCs w:val="24"/>
          <w:rtl/>
        </w:rPr>
        <w:t>, בנסיבות מסוימות,</w:t>
      </w:r>
      <w:r w:rsidR="00C452B3">
        <w:rPr>
          <w:rFonts w:cs="David" w:hint="cs"/>
          <w:color w:val="auto"/>
          <w:sz w:val="24"/>
          <w:szCs w:val="24"/>
          <w:rtl/>
        </w:rPr>
        <w:t xml:space="preserve"> </w:t>
      </w:r>
      <w:r>
        <w:rPr>
          <w:rFonts w:cs="David" w:hint="cs"/>
          <w:color w:val="auto"/>
          <w:sz w:val="24"/>
          <w:szCs w:val="24"/>
          <w:rtl/>
        </w:rPr>
        <w:t xml:space="preserve">הימשכות של הליכי החקירה. כך, </w:t>
      </w:r>
      <w:r w:rsidR="00C452B3">
        <w:rPr>
          <w:rFonts w:cs="David" w:hint="cs"/>
          <w:color w:val="auto"/>
          <w:sz w:val="24"/>
          <w:szCs w:val="24"/>
          <w:rtl/>
        </w:rPr>
        <w:t>למשל</w:t>
      </w:r>
      <w:r>
        <w:rPr>
          <w:rFonts w:cs="David" w:hint="cs"/>
          <w:color w:val="auto"/>
          <w:sz w:val="24"/>
          <w:szCs w:val="24"/>
          <w:rtl/>
        </w:rPr>
        <w:t>,</w:t>
      </w:r>
      <w:r w:rsidR="00C452B3">
        <w:rPr>
          <w:rFonts w:cs="David" w:hint="cs"/>
          <w:color w:val="auto"/>
          <w:sz w:val="24"/>
          <w:szCs w:val="24"/>
          <w:rtl/>
        </w:rPr>
        <w:t xml:space="preserve"> בתיקים מורכבים עם ריבוי עבירות, ריבוי חשודים או קורבנות, בתיקים המחייבים הליכי חקירה בחו"ל או </w:t>
      </w:r>
      <w:r>
        <w:rPr>
          <w:rFonts w:cs="David" w:hint="cs"/>
          <w:color w:val="auto"/>
          <w:sz w:val="24"/>
          <w:szCs w:val="24"/>
          <w:rtl/>
        </w:rPr>
        <w:t xml:space="preserve">במקרים </w:t>
      </w:r>
      <w:r w:rsidR="00C452B3">
        <w:rPr>
          <w:rFonts w:cs="David" w:hint="cs"/>
          <w:color w:val="auto"/>
          <w:sz w:val="24"/>
          <w:szCs w:val="24"/>
          <w:rtl/>
        </w:rPr>
        <w:t>שבהם החשוד עצמו מתחמק מן הדין ומערים קשיים על רשויות החקירה והתביעה</w:t>
      </w:r>
      <w:r>
        <w:rPr>
          <w:rFonts w:cs="David" w:hint="cs"/>
          <w:color w:val="auto"/>
          <w:sz w:val="24"/>
          <w:szCs w:val="24"/>
          <w:rtl/>
        </w:rPr>
        <w:t>. ככל שהעבירות חמורות יותר יהיה זה פחות מוצדק לוותר על העמדה לדין רק בשל הימשכות ההליכים.</w:t>
      </w:r>
      <w:r w:rsidR="00C452B3">
        <w:rPr>
          <w:rFonts w:cs="David" w:hint="cs"/>
          <w:color w:val="auto"/>
          <w:sz w:val="24"/>
          <w:szCs w:val="24"/>
          <w:rtl/>
        </w:rPr>
        <w:t xml:space="preserve"> </w:t>
      </w:r>
    </w:p>
    <w:p w:rsidR="00021A13" w:rsidRPr="00021A13" w:rsidRDefault="00021A13" w:rsidP="008164E4">
      <w:pPr>
        <w:pStyle w:val="a7"/>
        <w:numPr>
          <w:ilvl w:val="0"/>
          <w:numId w:val="11"/>
        </w:numPr>
        <w:spacing w:after="120" w:line="360" w:lineRule="auto"/>
        <w:rPr>
          <w:rFonts w:cs="David"/>
          <w:sz w:val="24"/>
          <w:szCs w:val="24"/>
          <w:rtl/>
        </w:rPr>
      </w:pPr>
      <w:r w:rsidRPr="00021A13">
        <w:rPr>
          <w:rFonts w:cs="David" w:hint="cs"/>
          <w:sz w:val="24"/>
          <w:szCs w:val="24"/>
          <w:rtl/>
        </w:rPr>
        <w:t>יצויין כי חלוף זמן רב מתחילת החקירה יכול להוות שיקול לסגירת התיק, להקלה בעונש ובמקרים קיצוניים אף לזיכוי הנאשם מטעמי "הגנה מן הצדק" (הגנה המעוגנת כיום בחוק).</w:t>
      </w:r>
    </w:p>
    <w:p w:rsidR="008B1FE5" w:rsidRPr="005A322F" w:rsidRDefault="00C4139D" w:rsidP="008164E4">
      <w:pPr>
        <w:pStyle w:val="a7"/>
        <w:numPr>
          <w:ilvl w:val="0"/>
          <w:numId w:val="11"/>
        </w:numPr>
        <w:spacing w:after="120" w:line="360" w:lineRule="auto"/>
        <w:rPr>
          <w:rFonts w:cs="David"/>
          <w:color w:val="auto"/>
          <w:sz w:val="24"/>
          <w:szCs w:val="24"/>
          <w:rtl/>
        </w:rPr>
      </w:pPr>
      <w:r w:rsidRPr="005A322F">
        <w:rPr>
          <w:rFonts w:cs="David" w:hint="cs"/>
          <w:color w:val="auto"/>
          <w:sz w:val="24"/>
          <w:szCs w:val="24"/>
          <w:rtl/>
        </w:rPr>
        <w:t xml:space="preserve">נושא זה עלה לדיון הציבורי </w:t>
      </w:r>
      <w:r w:rsidR="008936D7" w:rsidRPr="005A322F">
        <w:rPr>
          <w:rFonts w:cs="David" w:hint="cs"/>
          <w:color w:val="auto"/>
          <w:sz w:val="24"/>
          <w:szCs w:val="24"/>
          <w:rtl/>
        </w:rPr>
        <w:t xml:space="preserve">בעשור האחרון, </w:t>
      </w:r>
      <w:r w:rsidRPr="005A322F">
        <w:rPr>
          <w:rFonts w:cs="David" w:hint="cs"/>
          <w:color w:val="auto"/>
          <w:sz w:val="24"/>
          <w:szCs w:val="24"/>
          <w:rtl/>
        </w:rPr>
        <w:t>ו</w:t>
      </w:r>
      <w:r w:rsidR="005A322F">
        <w:rPr>
          <w:rFonts w:cs="David" w:hint="cs"/>
          <w:color w:val="auto"/>
          <w:sz w:val="24"/>
          <w:szCs w:val="24"/>
          <w:rtl/>
        </w:rPr>
        <w:t xml:space="preserve">בעקבותיו </w:t>
      </w:r>
      <w:r w:rsidRPr="005A322F">
        <w:rPr>
          <w:rFonts w:cs="David" w:hint="cs"/>
          <w:color w:val="auto"/>
          <w:sz w:val="24"/>
          <w:szCs w:val="24"/>
          <w:rtl/>
        </w:rPr>
        <w:t xml:space="preserve">נקבעו ע"י רשויות החקירה והתביעה </w:t>
      </w:r>
      <w:r w:rsidR="008B1FE5" w:rsidRPr="005A322F">
        <w:rPr>
          <w:rFonts w:cs="David" w:hint="cs"/>
          <w:color w:val="auto"/>
          <w:sz w:val="24"/>
          <w:szCs w:val="24"/>
          <w:rtl/>
        </w:rPr>
        <w:t>הנחיות פנימיות</w:t>
      </w:r>
      <w:r w:rsidRPr="005A322F">
        <w:rPr>
          <w:rFonts w:cs="David" w:hint="cs"/>
          <w:color w:val="auto"/>
          <w:sz w:val="24"/>
          <w:szCs w:val="24"/>
          <w:rtl/>
        </w:rPr>
        <w:t>,</w:t>
      </w:r>
      <w:r w:rsidR="008B1FE5" w:rsidRPr="005A322F">
        <w:rPr>
          <w:rFonts w:cs="David" w:hint="cs"/>
          <w:color w:val="auto"/>
          <w:sz w:val="24"/>
          <w:szCs w:val="24"/>
          <w:rtl/>
        </w:rPr>
        <w:t xml:space="preserve"> </w:t>
      </w:r>
      <w:r w:rsidR="008936D7" w:rsidRPr="005A322F">
        <w:rPr>
          <w:rFonts w:cs="David" w:hint="cs"/>
          <w:color w:val="auto"/>
          <w:sz w:val="24"/>
          <w:szCs w:val="24"/>
          <w:rtl/>
        </w:rPr>
        <w:t>ה</w:t>
      </w:r>
      <w:r w:rsidR="006E6BAC" w:rsidRPr="005A322F">
        <w:rPr>
          <w:rFonts w:cs="David" w:hint="cs"/>
          <w:color w:val="auto"/>
          <w:sz w:val="24"/>
          <w:szCs w:val="24"/>
          <w:rtl/>
        </w:rPr>
        <w:t>מציבות מגב</w:t>
      </w:r>
      <w:r w:rsidR="008936D7" w:rsidRPr="005A322F">
        <w:rPr>
          <w:rFonts w:cs="David" w:hint="cs"/>
          <w:color w:val="auto"/>
          <w:sz w:val="24"/>
          <w:szCs w:val="24"/>
          <w:rtl/>
        </w:rPr>
        <w:t xml:space="preserve">לות </w:t>
      </w:r>
      <w:r w:rsidRPr="005A322F">
        <w:rPr>
          <w:rFonts w:cs="David" w:hint="cs"/>
          <w:color w:val="auto"/>
          <w:sz w:val="24"/>
          <w:szCs w:val="24"/>
          <w:rtl/>
        </w:rPr>
        <w:t>ל</w:t>
      </w:r>
      <w:r w:rsidR="008936D7" w:rsidRPr="005A322F">
        <w:rPr>
          <w:rFonts w:cs="David" w:hint="cs"/>
          <w:color w:val="auto"/>
          <w:sz w:val="24"/>
          <w:szCs w:val="24"/>
          <w:rtl/>
        </w:rPr>
        <w:t xml:space="preserve">משך </w:t>
      </w:r>
      <w:r w:rsidR="006E6BAC" w:rsidRPr="005A322F">
        <w:rPr>
          <w:rFonts w:cs="David" w:hint="cs"/>
          <w:color w:val="auto"/>
          <w:sz w:val="24"/>
          <w:szCs w:val="24"/>
          <w:rtl/>
        </w:rPr>
        <w:t xml:space="preserve">החקירה וטיפול התביעה בתיק, לצד </w:t>
      </w:r>
      <w:r w:rsidRPr="005A322F">
        <w:rPr>
          <w:rFonts w:cs="David" w:hint="cs"/>
          <w:color w:val="auto"/>
          <w:sz w:val="24"/>
          <w:szCs w:val="24"/>
          <w:rtl/>
        </w:rPr>
        <w:t xml:space="preserve">קביעת </w:t>
      </w:r>
      <w:r w:rsidR="006E6BAC" w:rsidRPr="005A322F">
        <w:rPr>
          <w:rFonts w:cs="David" w:hint="cs"/>
          <w:color w:val="auto"/>
          <w:sz w:val="24"/>
          <w:szCs w:val="24"/>
          <w:rtl/>
        </w:rPr>
        <w:t>נסיבות המצדיקות חריגה מהן, ומנגנוני פיקוח ובקרה</w:t>
      </w:r>
      <w:r w:rsidRPr="005A322F">
        <w:rPr>
          <w:rFonts w:cs="David" w:hint="cs"/>
          <w:color w:val="auto"/>
          <w:sz w:val="24"/>
          <w:szCs w:val="24"/>
          <w:rtl/>
        </w:rPr>
        <w:t>:</w:t>
      </w:r>
    </w:p>
    <w:p w:rsidR="008B1FE5" w:rsidRDefault="008B1FE5" w:rsidP="008164E4">
      <w:pPr>
        <w:pStyle w:val="a7"/>
        <w:numPr>
          <w:ilvl w:val="0"/>
          <w:numId w:val="2"/>
        </w:numPr>
        <w:spacing w:after="120" w:line="360" w:lineRule="auto"/>
        <w:ind w:left="1076" w:hanging="283"/>
        <w:rPr>
          <w:rFonts w:cs="David"/>
          <w:color w:val="auto"/>
          <w:sz w:val="24"/>
          <w:szCs w:val="24"/>
        </w:rPr>
      </w:pPr>
      <w:r>
        <w:rPr>
          <w:rFonts w:cs="David" w:hint="cs"/>
          <w:color w:val="auto"/>
          <w:sz w:val="24"/>
          <w:szCs w:val="24"/>
          <w:rtl/>
        </w:rPr>
        <w:t>בשנת 2010 פורסמה הנח</w:t>
      </w:r>
      <w:r w:rsidR="00751D42">
        <w:rPr>
          <w:rFonts w:cs="David" w:hint="cs"/>
          <w:color w:val="auto"/>
          <w:sz w:val="24"/>
          <w:szCs w:val="24"/>
          <w:rtl/>
        </w:rPr>
        <w:t>י</w:t>
      </w:r>
      <w:r>
        <w:rPr>
          <w:rFonts w:cs="David" w:hint="cs"/>
          <w:color w:val="auto"/>
          <w:sz w:val="24"/>
          <w:szCs w:val="24"/>
          <w:rtl/>
        </w:rPr>
        <w:t xml:space="preserve">ית היועץ המשפטי לממשלה מס' 4.1202 </w:t>
      </w:r>
      <w:r w:rsidR="008936D7">
        <w:rPr>
          <w:rFonts w:cs="David" w:hint="cs"/>
          <w:color w:val="auto"/>
          <w:sz w:val="24"/>
          <w:szCs w:val="24"/>
          <w:rtl/>
        </w:rPr>
        <w:t>(</w:t>
      </w:r>
      <w:r>
        <w:rPr>
          <w:rFonts w:cs="David" w:hint="cs"/>
          <w:color w:val="auto"/>
          <w:sz w:val="24"/>
          <w:szCs w:val="24"/>
          <w:rtl/>
        </w:rPr>
        <w:t>עודכנה בשנת 2014</w:t>
      </w:r>
      <w:r w:rsidR="008936D7">
        <w:rPr>
          <w:rFonts w:cs="David" w:hint="cs"/>
          <w:color w:val="auto"/>
          <w:sz w:val="24"/>
          <w:szCs w:val="24"/>
          <w:rtl/>
        </w:rPr>
        <w:t>)</w:t>
      </w:r>
      <w:r>
        <w:rPr>
          <w:rFonts w:cs="David" w:hint="cs"/>
          <w:color w:val="auto"/>
          <w:sz w:val="24"/>
          <w:szCs w:val="24"/>
          <w:rtl/>
        </w:rPr>
        <w:t xml:space="preserve"> בעניין "משך טיפול </w:t>
      </w:r>
      <w:r w:rsidRPr="006E6BAC">
        <w:rPr>
          <w:rFonts w:cs="David" w:hint="cs"/>
          <w:color w:val="auto"/>
          <w:sz w:val="24"/>
          <w:szCs w:val="24"/>
          <w:u w:val="single"/>
          <w:rtl/>
        </w:rPr>
        <w:t>התביעה</w:t>
      </w:r>
      <w:r>
        <w:rPr>
          <w:rFonts w:cs="David" w:hint="cs"/>
          <w:color w:val="auto"/>
          <w:sz w:val="24"/>
          <w:szCs w:val="24"/>
          <w:rtl/>
        </w:rPr>
        <w:t xml:space="preserve"> עד להגשת כתב אישום"</w:t>
      </w:r>
      <w:r w:rsidR="008936D7">
        <w:rPr>
          <w:rFonts w:cs="David" w:hint="cs"/>
          <w:color w:val="auto"/>
          <w:sz w:val="24"/>
          <w:szCs w:val="24"/>
          <w:rtl/>
        </w:rPr>
        <w:t>.</w:t>
      </w:r>
      <w:r w:rsidR="006D2BD9">
        <w:rPr>
          <w:rFonts w:cs="David" w:hint="cs"/>
          <w:color w:val="auto"/>
          <w:sz w:val="24"/>
          <w:szCs w:val="24"/>
          <w:rtl/>
        </w:rPr>
        <w:t xml:space="preserve"> יצויין שגם בעבר פורסמו הנחיות יועץ משפטי לממשלה שעסקו בנושא, אך בצורה פחות מפורטת ויסודית. </w:t>
      </w:r>
    </w:p>
    <w:p w:rsidR="008B1FE5" w:rsidRDefault="008B1FE5" w:rsidP="008164E4">
      <w:pPr>
        <w:pStyle w:val="a7"/>
        <w:numPr>
          <w:ilvl w:val="0"/>
          <w:numId w:val="2"/>
        </w:numPr>
        <w:spacing w:after="120" w:line="360" w:lineRule="auto"/>
        <w:ind w:left="1076" w:hanging="283"/>
        <w:rPr>
          <w:rFonts w:cs="David"/>
          <w:color w:val="auto"/>
          <w:sz w:val="24"/>
          <w:szCs w:val="24"/>
        </w:rPr>
      </w:pPr>
      <w:r>
        <w:rPr>
          <w:rFonts w:cs="David" w:hint="cs"/>
          <w:color w:val="auto"/>
          <w:sz w:val="24"/>
          <w:szCs w:val="24"/>
          <w:rtl/>
        </w:rPr>
        <w:t xml:space="preserve">בשנת 2011 פורסם נוהל </w:t>
      </w:r>
      <w:r w:rsidR="00751D42">
        <w:rPr>
          <w:rFonts w:cs="David" w:hint="cs"/>
          <w:color w:val="auto"/>
          <w:sz w:val="24"/>
          <w:szCs w:val="24"/>
          <w:rtl/>
        </w:rPr>
        <w:t xml:space="preserve">של </w:t>
      </w:r>
      <w:r>
        <w:rPr>
          <w:rFonts w:cs="David" w:hint="cs"/>
          <w:color w:val="auto"/>
          <w:sz w:val="24"/>
          <w:szCs w:val="24"/>
          <w:rtl/>
        </w:rPr>
        <w:t xml:space="preserve">אגף חקירות מודיעין במשטרה בעניין "הגבלת משך </w:t>
      </w:r>
      <w:r w:rsidRPr="006E6BAC">
        <w:rPr>
          <w:rFonts w:cs="David" w:hint="cs"/>
          <w:color w:val="auto"/>
          <w:sz w:val="24"/>
          <w:szCs w:val="24"/>
          <w:u w:val="single"/>
          <w:rtl/>
        </w:rPr>
        <w:t>החקירה</w:t>
      </w:r>
      <w:r>
        <w:rPr>
          <w:rFonts w:cs="David" w:hint="cs"/>
          <w:color w:val="auto"/>
          <w:sz w:val="24"/>
          <w:szCs w:val="24"/>
          <w:rtl/>
        </w:rPr>
        <w:t xml:space="preserve"> נגד חשוד"</w:t>
      </w:r>
      <w:r w:rsidR="008936D7">
        <w:rPr>
          <w:rFonts w:cs="David" w:hint="cs"/>
          <w:color w:val="auto"/>
          <w:sz w:val="24"/>
          <w:szCs w:val="24"/>
          <w:rtl/>
        </w:rPr>
        <w:t xml:space="preserve"> (</w:t>
      </w:r>
      <w:r>
        <w:rPr>
          <w:rFonts w:cs="David" w:hint="cs"/>
          <w:color w:val="auto"/>
          <w:sz w:val="24"/>
          <w:szCs w:val="24"/>
          <w:rtl/>
        </w:rPr>
        <w:t xml:space="preserve">עודכן בשנת 2014 </w:t>
      </w:r>
      <w:r>
        <w:rPr>
          <w:rFonts w:cs="David"/>
          <w:color w:val="auto"/>
          <w:sz w:val="24"/>
          <w:szCs w:val="24"/>
          <w:rtl/>
        </w:rPr>
        <w:t>–</w:t>
      </w:r>
      <w:r>
        <w:rPr>
          <w:rFonts w:cs="David" w:hint="cs"/>
          <w:color w:val="auto"/>
          <w:sz w:val="24"/>
          <w:szCs w:val="24"/>
          <w:rtl/>
        </w:rPr>
        <w:t xml:space="preserve"> נוהל אח"מ מס' 300.05.166</w:t>
      </w:r>
      <w:r w:rsidR="008936D7">
        <w:rPr>
          <w:rFonts w:cs="David" w:hint="cs"/>
          <w:color w:val="auto"/>
          <w:sz w:val="24"/>
          <w:szCs w:val="24"/>
          <w:rtl/>
        </w:rPr>
        <w:t>)</w:t>
      </w:r>
      <w:r>
        <w:rPr>
          <w:rFonts w:cs="David" w:hint="cs"/>
          <w:color w:val="auto"/>
          <w:sz w:val="24"/>
          <w:szCs w:val="24"/>
          <w:rtl/>
        </w:rPr>
        <w:t xml:space="preserve">. </w:t>
      </w:r>
    </w:p>
    <w:p w:rsidR="008936D7" w:rsidRDefault="006E6BAC" w:rsidP="00C25249">
      <w:pPr>
        <w:spacing w:after="120" w:line="360" w:lineRule="auto"/>
        <w:ind w:left="356" w:firstLine="720"/>
        <w:rPr>
          <w:rFonts w:cs="David"/>
          <w:sz w:val="24"/>
          <w:szCs w:val="24"/>
          <w:rtl/>
        </w:rPr>
      </w:pPr>
      <w:r>
        <w:rPr>
          <w:rFonts w:cs="David" w:hint="cs"/>
          <w:sz w:val="24"/>
          <w:szCs w:val="24"/>
          <w:rtl/>
        </w:rPr>
        <w:t>*</w:t>
      </w:r>
      <w:r w:rsidR="00E1658E" w:rsidRPr="00E1658E">
        <w:rPr>
          <w:rFonts w:cs="David" w:hint="cs"/>
          <w:sz w:val="20"/>
          <w:szCs w:val="20"/>
          <w:rtl/>
        </w:rPr>
        <w:t xml:space="preserve">ראו בנספח </w:t>
      </w:r>
      <w:r w:rsidR="00C25249">
        <w:rPr>
          <w:rFonts w:cs="David" w:hint="cs"/>
          <w:sz w:val="20"/>
          <w:szCs w:val="20"/>
          <w:rtl/>
        </w:rPr>
        <w:t>ב</w:t>
      </w:r>
      <w:r w:rsidR="00167731">
        <w:rPr>
          <w:rFonts w:cs="David" w:hint="cs"/>
          <w:sz w:val="20"/>
          <w:szCs w:val="20"/>
          <w:rtl/>
        </w:rPr>
        <w:t xml:space="preserve">' </w:t>
      </w:r>
      <w:r w:rsidRPr="006E6BAC">
        <w:rPr>
          <w:rFonts w:cs="David" w:hint="cs"/>
          <w:sz w:val="20"/>
          <w:szCs w:val="20"/>
          <w:rtl/>
        </w:rPr>
        <w:t xml:space="preserve">פירוט ההסדרים </w:t>
      </w:r>
      <w:r w:rsidR="00167731">
        <w:rPr>
          <w:rFonts w:cs="David" w:hint="cs"/>
          <w:sz w:val="20"/>
          <w:szCs w:val="20"/>
          <w:rtl/>
        </w:rPr>
        <w:t xml:space="preserve">בהנחיות הפנימיות </w:t>
      </w:r>
      <w:r w:rsidRPr="006E6BAC">
        <w:rPr>
          <w:rFonts w:cs="David" w:hint="cs"/>
          <w:sz w:val="20"/>
          <w:szCs w:val="20"/>
          <w:rtl/>
        </w:rPr>
        <w:t>בהשוואה להסדר</w:t>
      </w:r>
      <w:r w:rsidR="006D2BD9">
        <w:rPr>
          <w:rFonts w:cs="David" w:hint="cs"/>
          <w:sz w:val="20"/>
          <w:szCs w:val="20"/>
          <w:rtl/>
        </w:rPr>
        <w:t>ים</w:t>
      </w:r>
      <w:r w:rsidRPr="006E6BAC">
        <w:rPr>
          <w:rFonts w:cs="David" w:hint="cs"/>
          <w:sz w:val="20"/>
          <w:szCs w:val="20"/>
          <w:rtl/>
        </w:rPr>
        <w:t xml:space="preserve"> המוצע</w:t>
      </w:r>
      <w:r w:rsidR="006D2BD9">
        <w:rPr>
          <w:rFonts w:cs="David" w:hint="cs"/>
          <w:sz w:val="20"/>
          <w:szCs w:val="20"/>
          <w:rtl/>
        </w:rPr>
        <w:t>ים</w:t>
      </w:r>
      <w:r w:rsidRPr="006E6BAC">
        <w:rPr>
          <w:rFonts w:cs="David" w:hint="cs"/>
          <w:sz w:val="20"/>
          <w:szCs w:val="20"/>
          <w:rtl/>
        </w:rPr>
        <w:t xml:space="preserve"> בהצע</w:t>
      </w:r>
      <w:r w:rsidR="006D2BD9">
        <w:rPr>
          <w:rFonts w:cs="David" w:hint="cs"/>
          <w:sz w:val="20"/>
          <w:szCs w:val="20"/>
          <w:rtl/>
        </w:rPr>
        <w:t>ו</w:t>
      </w:r>
      <w:r w:rsidRPr="006E6BAC">
        <w:rPr>
          <w:rFonts w:cs="David" w:hint="cs"/>
          <w:sz w:val="20"/>
          <w:szCs w:val="20"/>
          <w:rtl/>
        </w:rPr>
        <w:t xml:space="preserve">ת החוק. </w:t>
      </w:r>
    </w:p>
    <w:p w:rsidR="006D2BD9" w:rsidRDefault="006D2BD9" w:rsidP="005A322F">
      <w:pPr>
        <w:spacing w:after="120" w:line="360" w:lineRule="auto"/>
        <w:ind w:firstLine="0"/>
        <w:rPr>
          <w:rFonts w:cs="David"/>
          <w:b/>
          <w:bCs/>
          <w:sz w:val="24"/>
          <w:szCs w:val="24"/>
          <w:u w:val="single"/>
          <w:rtl/>
        </w:rPr>
      </w:pPr>
    </w:p>
    <w:p w:rsidR="00C25249" w:rsidRDefault="00C25249" w:rsidP="005A322F">
      <w:pPr>
        <w:spacing w:after="120" w:line="360" w:lineRule="auto"/>
        <w:ind w:firstLine="0"/>
        <w:rPr>
          <w:rFonts w:cs="David"/>
          <w:b/>
          <w:bCs/>
          <w:sz w:val="24"/>
          <w:szCs w:val="24"/>
          <w:u w:val="single"/>
          <w:rtl/>
        </w:rPr>
      </w:pPr>
    </w:p>
    <w:p w:rsidR="00751D42" w:rsidRDefault="009C2F9A" w:rsidP="005A322F">
      <w:pPr>
        <w:spacing w:after="120" w:line="360" w:lineRule="auto"/>
        <w:ind w:firstLine="0"/>
        <w:rPr>
          <w:rFonts w:cs="David"/>
          <w:color w:val="auto"/>
          <w:sz w:val="24"/>
          <w:szCs w:val="24"/>
          <w:rtl/>
        </w:rPr>
      </w:pPr>
      <w:r>
        <w:rPr>
          <w:rFonts w:cs="David" w:hint="cs"/>
          <w:b/>
          <w:bCs/>
          <w:sz w:val="24"/>
          <w:szCs w:val="24"/>
          <w:u w:val="single"/>
          <w:rtl/>
        </w:rPr>
        <w:t xml:space="preserve">הצעות החוק </w:t>
      </w:r>
    </w:p>
    <w:p w:rsidR="00021A13" w:rsidRDefault="00200443" w:rsidP="00C25249">
      <w:pPr>
        <w:pStyle w:val="a7"/>
        <w:numPr>
          <w:ilvl w:val="0"/>
          <w:numId w:val="13"/>
        </w:numPr>
        <w:spacing w:before="0" w:after="120" w:line="360" w:lineRule="auto"/>
        <w:ind w:left="733" w:hanging="378"/>
        <w:rPr>
          <w:rFonts w:cs="David"/>
          <w:sz w:val="24"/>
          <w:szCs w:val="24"/>
        </w:rPr>
      </w:pPr>
      <w:r w:rsidRPr="00285CA9">
        <w:rPr>
          <w:rFonts w:cs="David" w:hint="cs"/>
          <w:color w:val="auto"/>
          <w:sz w:val="24"/>
          <w:szCs w:val="24"/>
          <w:rtl/>
        </w:rPr>
        <w:t xml:space="preserve">נוכח העדר ההסדרה של הנושא בחקיקה ראשית מבקשות </w:t>
      </w:r>
      <w:r w:rsidR="00751D42" w:rsidRPr="00285CA9">
        <w:rPr>
          <w:rFonts w:cs="David" w:hint="cs"/>
          <w:color w:val="auto"/>
          <w:sz w:val="24"/>
          <w:szCs w:val="24"/>
          <w:rtl/>
        </w:rPr>
        <w:t>הצעות החוק</w:t>
      </w:r>
      <w:r w:rsidR="009C2F9A" w:rsidRPr="00285CA9">
        <w:rPr>
          <w:rFonts w:cs="David" w:hint="cs"/>
          <w:color w:val="auto"/>
          <w:sz w:val="24"/>
          <w:szCs w:val="24"/>
          <w:rtl/>
        </w:rPr>
        <w:t xml:space="preserve"> שבנדון לתקן את חוק סדר הדין הפל</w:t>
      </w:r>
      <w:r w:rsidR="00AA5B39" w:rsidRPr="00285CA9">
        <w:rPr>
          <w:rFonts w:cs="David" w:hint="cs"/>
          <w:color w:val="auto"/>
          <w:sz w:val="24"/>
          <w:szCs w:val="24"/>
          <w:rtl/>
        </w:rPr>
        <w:t xml:space="preserve">ילי [נוסח משולב], התשמ"ב-1982, </w:t>
      </w:r>
      <w:r w:rsidR="009C2F9A" w:rsidRPr="00285CA9">
        <w:rPr>
          <w:rFonts w:cs="David" w:hint="cs"/>
          <w:color w:val="auto"/>
          <w:sz w:val="24"/>
          <w:szCs w:val="24"/>
          <w:rtl/>
        </w:rPr>
        <w:t xml:space="preserve">ולהגביל את משך הזמן ממועד פתיחת החקירה ועד לקבלת החלטה על הגשת כתב אישום. הצעת החוק </w:t>
      </w:r>
      <w:r w:rsidR="009C2F9A" w:rsidRPr="00285CA9">
        <w:rPr>
          <w:rFonts w:cs="David" w:hint="cs"/>
          <w:sz w:val="24"/>
          <w:szCs w:val="24"/>
          <w:rtl/>
        </w:rPr>
        <w:t>פ/3041/20 של ח"כ ניסן סלומינסקי ואח'</w:t>
      </w:r>
      <w:r w:rsidR="009C2F9A" w:rsidRPr="00285CA9">
        <w:rPr>
          <w:rFonts w:cs="David" w:hint="cs"/>
          <w:color w:val="auto"/>
          <w:sz w:val="24"/>
          <w:szCs w:val="24"/>
          <w:rtl/>
        </w:rPr>
        <w:t xml:space="preserve"> והצעת החוק </w:t>
      </w:r>
      <w:r w:rsidR="009C2F9A" w:rsidRPr="00285CA9">
        <w:rPr>
          <w:rFonts w:cs="David" w:hint="cs"/>
          <w:sz w:val="24"/>
          <w:szCs w:val="24"/>
          <w:rtl/>
        </w:rPr>
        <w:t>פ/693/20 של ח"כ דב חנין ואח'</w:t>
      </w:r>
      <w:r w:rsidR="00E1658E" w:rsidRPr="00285CA9">
        <w:rPr>
          <w:rFonts w:cs="David" w:hint="cs"/>
          <w:color w:val="auto"/>
          <w:sz w:val="24"/>
          <w:szCs w:val="24"/>
          <w:rtl/>
        </w:rPr>
        <w:t xml:space="preserve"> קובעות הסדרים כמעט זהים,</w:t>
      </w:r>
      <w:r w:rsidR="00535DAA" w:rsidRPr="00285CA9">
        <w:rPr>
          <w:rFonts w:cs="David" w:hint="cs"/>
          <w:color w:val="auto"/>
          <w:sz w:val="24"/>
          <w:szCs w:val="24"/>
          <w:rtl/>
        </w:rPr>
        <w:t xml:space="preserve"> </w:t>
      </w:r>
      <w:r w:rsidR="009C2F9A" w:rsidRPr="00285CA9">
        <w:rPr>
          <w:rFonts w:cs="David" w:hint="cs"/>
          <w:color w:val="auto"/>
          <w:sz w:val="24"/>
          <w:szCs w:val="24"/>
          <w:rtl/>
        </w:rPr>
        <w:t xml:space="preserve">ואילו הצעת החוק </w:t>
      </w:r>
      <w:r w:rsidR="009C2F9A" w:rsidRPr="00285CA9">
        <w:rPr>
          <w:rFonts w:cs="David" w:hint="cs"/>
          <w:sz w:val="24"/>
          <w:szCs w:val="24"/>
          <w:rtl/>
        </w:rPr>
        <w:t>פ/1322/20 של ח"כ טלב אבו עראר ואח' קובעת הסדר שונה וקצר יותר</w:t>
      </w:r>
      <w:r w:rsidR="00E1658E">
        <w:rPr>
          <w:rStyle w:val="a5"/>
          <w:rFonts w:cs="David"/>
          <w:sz w:val="24"/>
          <w:szCs w:val="24"/>
          <w:rtl/>
        </w:rPr>
        <w:footnoteReference w:id="1"/>
      </w:r>
      <w:r w:rsidR="00535DAA" w:rsidRPr="00285CA9">
        <w:rPr>
          <w:rFonts w:cs="David" w:hint="cs"/>
          <w:sz w:val="24"/>
          <w:szCs w:val="24"/>
          <w:rtl/>
        </w:rPr>
        <w:t>.</w:t>
      </w:r>
      <w:r w:rsidR="00610D2D" w:rsidRPr="00285CA9">
        <w:rPr>
          <w:rFonts w:cs="David" w:hint="cs"/>
          <w:sz w:val="24"/>
          <w:szCs w:val="24"/>
          <w:rtl/>
        </w:rPr>
        <w:t xml:space="preserve"> </w:t>
      </w:r>
    </w:p>
    <w:p w:rsidR="00C25249" w:rsidRPr="00285CA9" w:rsidRDefault="00C25249" w:rsidP="00C25249">
      <w:pPr>
        <w:pStyle w:val="a7"/>
        <w:spacing w:before="0" w:after="120" w:line="360" w:lineRule="auto"/>
        <w:ind w:left="733" w:firstLine="0"/>
        <w:rPr>
          <w:rFonts w:cs="David"/>
          <w:sz w:val="24"/>
          <w:szCs w:val="24"/>
        </w:rPr>
      </w:pPr>
    </w:p>
    <w:p w:rsidR="00E1658E" w:rsidRDefault="00535DAA" w:rsidP="008164E4">
      <w:pPr>
        <w:pStyle w:val="a7"/>
        <w:numPr>
          <w:ilvl w:val="0"/>
          <w:numId w:val="13"/>
        </w:numPr>
        <w:spacing w:before="0" w:after="120" w:line="360" w:lineRule="auto"/>
        <w:ind w:left="793" w:hanging="425"/>
        <w:rPr>
          <w:rFonts w:cs="David"/>
          <w:sz w:val="24"/>
          <w:szCs w:val="24"/>
          <w:u w:val="single"/>
        </w:rPr>
      </w:pPr>
      <w:r w:rsidRPr="00DC37B2">
        <w:rPr>
          <w:rFonts w:cs="David" w:hint="cs"/>
          <w:sz w:val="24"/>
          <w:szCs w:val="24"/>
          <w:u w:val="single"/>
          <w:rtl/>
        </w:rPr>
        <w:t xml:space="preserve">להלן עיקרי ההסדר </w:t>
      </w:r>
      <w:r w:rsidR="00E1658E" w:rsidRPr="00DC37B2">
        <w:rPr>
          <w:rFonts w:cs="David" w:hint="cs"/>
          <w:sz w:val="24"/>
          <w:szCs w:val="24"/>
          <w:u w:val="single"/>
          <w:rtl/>
        </w:rPr>
        <w:t xml:space="preserve">שבהצעות החוק: </w:t>
      </w:r>
    </w:p>
    <w:p w:rsidR="008447D0" w:rsidRPr="00C25249" w:rsidRDefault="008447D0" w:rsidP="008447D0">
      <w:pPr>
        <w:pStyle w:val="a7"/>
        <w:rPr>
          <w:rFonts w:cs="David"/>
          <w:sz w:val="24"/>
          <w:szCs w:val="24"/>
          <w:u w:val="single"/>
          <w:rtl/>
        </w:rPr>
      </w:pPr>
    </w:p>
    <w:p w:rsidR="008447D0" w:rsidRPr="00DC37B2" w:rsidRDefault="008447D0" w:rsidP="008447D0">
      <w:pPr>
        <w:pStyle w:val="a7"/>
        <w:spacing w:before="0" w:after="120" w:line="360" w:lineRule="auto"/>
        <w:ind w:left="793" w:firstLine="0"/>
        <w:rPr>
          <w:rFonts w:cs="David"/>
          <w:sz w:val="24"/>
          <w:szCs w:val="24"/>
          <w:u w:val="single"/>
          <w:rtl/>
        </w:rPr>
      </w:pPr>
      <w:r>
        <w:rPr>
          <w:rFonts w:cs="David" w:hint="cs"/>
          <w:sz w:val="24"/>
          <w:szCs w:val="24"/>
          <w:u w:val="single"/>
          <w:rtl/>
        </w:rPr>
        <w:t xml:space="preserve">מגבלות על משך החקירה הפלילית </w:t>
      </w:r>
    </w:p>
    <w:p w:rsidR="00535DAA" w:rsidRPr="00E1658E" w:rsidRDefault="00535DAA" w:rsidP="008164E4">
      <w:pPr>
        <w:pStyle w:val="a7"/>
        <w:numPr>
          <w:ilvl w:val="0"/>
          <w:numId w:val="5"/>
        </w:numPr>
        <w:spacing w:before="0" w:after="120" w:line="360" w:lineRule="auto"/>
        <w:ind w:left="1218" w:hanging="425"/>
        <w:rPr>
          <w:rFonts w:cs="David"/>
          <w:sz w:val="24"/>
          <w:szCs w:val="24"/>
        </w:rPr>
      </w:pPr>
      <w:r w:rsidRPr="00E1658E">
        <w:rPr>
          <w:rFonts w:cs="David" w:hint="cs"/>
          <w:sz w:val="24"/>
          <w:szCs w:val="24"/>
          <w:rtl/>
        </w:rPr>
        <w:t>קביעת ע</w:t>
      </w:r>
      <w:r w:rsidRPr="008447D0">
        <w:rPr>
          <w:rFonts w:cs="David" w:hint="cs"/>
          <w:b/>
          <w:bCs/>
          <w:sz w:val="24"/>
          <w:szCs w:val="24"/>
          <w:rtl/>
        </w:rPr>
        <w:t>קרון כללי</w:t>
      </w:r>
      <w:r w:rsidRPr="00E1658E">
        <w:rPr>
          <w:rFonts w:cs="David" w:hint="cs"/>
          <w:sz w:val="24"/>
          <w:szCs w:val="24"/>
          <w:rtl/>
        </w:rPr>
        <w:t xml:space="preserve"> בדבר סיום חקירה פלילית בהקדם האפשרי</w:t>
      </w:r>
      <w:r w:rsidR="003217D1">
        <w:rPr>
          <w:rFonts w:cs="David" w:hint="cs"/>
          <w:sz w:val="24"/>
          <w:szCs w:val="24"/>
          <w:rtl/>
        </w:rPr>
        <w:t xml:space="preserve"> </w:t>
      </w:r>
    </w:p>
    <w:p w:rsidR="003217D1" w:rsidRPr="00610D2D" w:rsidRDefault="00535DAA" w:rsidP="008164E4">
      <w:pPr>
        <w:pStyle w:val="a7"/>
        <w:numPr>
          <w:ilvl w:val="0"/>
          <w:numId w:val="5"/>
        </w:numPr>
        <w:spacing w:before="0" w:after="120" w:line="360" w:lineRule="auto"/>
        <w:ind w:left="1218" w:hanging="425"/>
        <w:rPr>
          <w:rFonts w:cs="David"/>
          <w:sz w:val="24"/>
          <w:szCs w:val="24"/>
        </w:rPr>
      </w:pPr>
      <w:r w:rsidRPr="00610D2D">
        <w:rPr>
          <w:rFonts w:cs="David" w:hint="cs"/>
          <w:sz w:val="24"/>
          <w:szCs w:val="24"/>
          <w:rtl/>
        </w:rPr>
        <w:t xml:space="preserve">קביעת </w:t>
      </w:r>
      <w:r w:rsidRPr="008447D0">
        <w:rPr>
          <w:rFonts w:cs="David" w:hint="cs"/>
          <w:b/>
          <w:bCs/>
          <w:sz w:val="24"/>
          <w:szCs w:val="24"/>
          <w:rtl/>
        </w:rPr>
        <w:t>מגבלות על משך החקירה</w:t>
      </w:r>
      <w:r w:rsidRPr="00A048CF">
        <w:rPr>
          <w:rFonts w:cs="David"/>
          <w:b/>
          <w:bCs/>
          <w:sz w:val="24"/>
          <w:szCs w:val="24"/>
          <w:rtl/>
          <w:rPrChange w:id="16" w:author="גור בליי" w:date="2018-01-24T17:47:00Z">
            <w:rPr>
              <w:rFonts w:cs="David"/>
              <w:sz w:val="24"/>
              <w:szCs w:val="24"/>
              <w:rtl/>
            </w:rPr>
          </w:rPrChange>
        </w:rPr>
        <w:t xml:space="preserve"> </w:t>
      </w:r>
      <w:r w:rsidRPr="00A048CF">
        <w:rPr>
          <w:rFonts w:cs="David"/>
          <w:b/>
          <w:bCs/>
          <w:sz w:val="24"/>
          <w:szCs w:val="24"/>
          <w:u w:val="single"/>
          <w:rtl/>
          <w:rPrChange w:id="17" w:author="גור בליי" w:date="2018-01-24T17:47:00Z">
            <w:rPr>
              <w:rFonts w:cs="David"/>
              <w:sz w:val="24"/>
              <w:szCs w:val="24"/>
              <w:rtl/>
            </w:rPr>
          </w:rPrChange>
        </w:rPr>
        <w:t>במשטרה</w:t>
      </w:r>
      <w:r w:rsidRPr="00610D2D">
        <w:rPr>
          <w:rFonts w:cs="David" w:hint="cs"/>
          <w:sz w:val="24"/>
          <w:szCs w:val="24"/>
          <w:rtl/>
        </w:rPr>
        <w:t xml:space="preserve"> </w:t>
      </w:r>
      <w:r w:rsidR="00610D2D">
        <w:rPr>
          <w:rFonts w:cs="David"/>
          <w:sz w:val="24"/>
          <w:szCs w:val="24"/>
          <w:rtl/>
        </w:rPr>
        <w:t>–</w:t>
      </w:r>
      <w:r w:rsidR="00610D2D">
        <w:rPr>
          <w:rFonts w:cs="David" w:hint="cs"/>
          <w:sz w:val="24"/>
          <w:szCs w:val="24"/>
          <w:rtl/>
        </w:rPr>
        <w:t xml:space="preserve"> </w:t>
      </w:r>
      <w:r w:rsidR="00DC37B2">
        <w:rPr>
          <w:rFonts w:cs="David" w:hint="cs"/>
          <w:sz w:val="24"/>
          <w:szCs w:val="24"/>
          <w:rtl/>
        </w:rPr>
        <w:t xml:space="preserve">התקופות נמנות </w:t>
      </w:r>
      <w:r w:rsidR="00610D2D">
        <w:rPr>
          <w:rFonts w:cs="David" w:hint="cs"/>
          <w:sz w:val="24"/>
          <w:szCs w:val="24"/>
          <w:rtl/>
        </w:rPr>
        <w:t xml:space="preserve">ממועד </w:t>
      </w:r>
      <w:r w:rsidR="00DC37B2">
        <w:rPr>
          <w:rFonts w:cs="David" w:hint="cs"/>
          <w:sz w:val="24"/>
          <w:szCs w:val="24"/>
          <w:rtl/>
        </w:rPr>
        <w:t>פתיחת החקירה</w:t>
      </w:r>
      <w:r w:rsidR="00610D2D">
        <w:rPr>
          <w:rFonts w:cs="David" w:hint="cs"/>
          <w:sz w:val="24"/>
          <w:szCs w:val="24"/>
          <w:rtl/>
        </w:rPr>
        <w:t xml:space="preserve"> </w:t>
      </w:r>
      <w:r w:rsidR="00DC37B2">
        <w:rPr>
          <w:rFonts w:cs="David" w:hint="cs"/>
          <w:sz w:val="24"/>
          <w:szCs w:val="24"/>
          <w:rtl/>
        </w:rPr>
        <w:t xml:space="preserve">והן משתנות </w:t>
      </w:r>
      <w:r w:rsidRPr="00610D2D">
        <w:rPr>
          <w:rFonts w:cs="David" w:hint="cs"/>
          <w:sz w:val="24"/>
          <w:szCs w:val="24"/>
          <w:rtl/>
        </w:rPr>
        <w:t>בהתאם לחומרת העבירה</w:t>
      </w:r>
      <w:r w:rsidR="00DC37B2">
        <w:rPr>
          <w:rFonts w:cs="David" w:hint="cs"/>
          <w:sz w:val="24"/>
          <w:szCs w:val="24"/>
          <w:rtl/>
        </w:rPr>
        <w:t>:</w:t>
      </w:r>
    </w:p>
    <w:p w:rsidR="003217D1" w:rsidRPr="00610D2D" w:rsidRDefault="003217D1" w:rsidP="008164E4">
      <w:pPr>
        <w:pStyle w:val="a7"/>
        <w:numPr>
          <w:ilvl w:val="0"/>
          <w:numId w:val="12"/>
        </w:numPr>
        <w:spacing w:before="0" w:after="120" w:line="360" w:lineRule="auto"/>
        <w:ind w:left="1218" w:firstLine="0"/>
        <w:rPr>
          <w:rFonts w:cs="David"/>
          <w:sz w:val="24"/>
          <w:szCs w:val="24"/>
        </w:rPr>
      </w:pPr>
      <w:r w:rsidRPr="00610D2D">
        <w:rPr>
          <w:rFonts w:cs="David" w:hint="cs"/>
          <w:sz w:val="24"/>
          <w:szCs w:val="24"/>
          <w:rtl/>
        </w:rPr>
        <w:t xml:space="preserve">בעבירת חטא </w:t>
      </w:r>
      <w:r w:rsidRPr="00610D2D">
        <w:rPr>
          <w:rFonts w:cs="David"/>
          <w:sz w:val="24"/>
          <w:szCs w:val="24"/>
          <w:rtl/>
        </w:rPr>
        <w:t>–</w:t>
      </w:r>
      <w:r w:rsidRPr="00610D2D">
        <w:rPr>
          <w:rFonts w:cs="David" w:hint="cs"/>
          <w:sz w:val="24"/>
          <w:szCs w:val="24"/>
          <w:rtl/>
        </w:rPr>
        <w:t xml:space="preserve"> עד חצי שנה </w:t>
      </w:r>
    </w:p>
    <w:p w:rsidR="00610D2D" w:rsidRPr="00610D2D" w:rsidRDefault="003217D1" w:rsidP="008164E4">
      <w:pPr>
        <w:pStyle w:val="a7"/>
        <w:numPr>
          <w:ilvl w:val="0"/>
          <w:numId w:val="12"/>
        </w:numPr>
        <w:spacing w:before="0" w:after="120" w:line="360" w:lineRule="auto"/>
        <w:ind w:left="1218" w:firstLine="0"/>
        <w:rPr>
          <w:rFonts w:cs="David"/>
          <w:sz w:val="24"/>
          <w:szCs w:val="24"/>
        </w:rPr>
      </w:pPr>
      <w:r w:rsidRPr="00610D2D">
        <w:rPr>
          <w:rFonts w:cs="David" w:hint="cs"/>
          <w:sz w:val="24"/>
          <w:szCs w:val="24"/>
          <w:rtl/>
        </w:rPr>
        <w:t xml:space="preserve">בעבירת עוון </w:t>
      </w:r>
      <w:r w:rsidRPr="00610D2D">
        <w:rPr>
          <w:rFonts w:cs="David"/>
          <w:sz w:val="24"/>
          <w:szCs w:val="24"/>
          <w:rtl/>
        </w:rPr>
        <w:t>–</w:t>
      </w:r>
      <w:r w:rsidRPr="00610D2D">
        <w:rPr>
          <w:rFonts w:cs="David" w:hint="cs"/>
          <w:sz w:val="24"/>
          <w:szCs w:val="24"/>
          <w:rtl/>
        </w:rPr>
        <w:t xml:space="preserve"> עד שנה </w:t>
      </w:r>
    </w:p>
    <w:p w:rsidR="00610D2D" w:rsidRPr="00610D2D" w:rsidRDefault="003217D1" w:rsidP="008164E4">
      <w:pPr>
        <w:pStyle w:val="a7"/>
        <w:numPr>
          <w:ilvl w:val="0"/>
          <w:numId w:val="12"/>
        </w:numPr>
        <w:spacing w:before="0" w:after="120" w:line="360" w:lineRule="auto"/>
        <w:ind w:left="1218" w:firstLine="0"/>
        <w:rPr>
          <w:rFonts w:cs="David"/>
          <w:sz w:val="24"/>
          <w:szCs w:val="24"/>
        </w:rPr>
      </w:pPr>
      <w:r w:rsidRPr="00610D2D">
        <w:rPr>
          <w:rFonts w:cs="David" w:hint="cs"/>
          <w:sz w:val="24"/>
          <w:szCs w:val="24"/>
          <w:rtl/>
        </w:rPr>
        <w:t xml:space="preserve">בעבירת </w:t>
      </w:r>
      <w:r w:rsidR="00167731" w:rsidRPr="00610D2D">
        <w:rPr>
          <w:rFonts w:cs="David" w:hint="cs"/>
          <w:sz w:val="24"/>
          <w:szCs w:val="24"/>
          <w:rtl/>
        </w:rPr>
        <w:t xml:space="preserve">פשע שדינה עד 10 שנות מאסר (כולל) </w:t>
      </w:r>
      <w:r w:rsidRPr="00610D2D">
        <w:rPr>
          <w:rFonts w:cs="David"/>
          <w:sz w:val="24"/>
          <w:szCs w:val="24"/>
          <w:rtl/>
        </w:rPr>
        <w:t>–</w:t>
      </w:r>
      <w:r w:rsidRPr="00610D2D">
        <w:rPr>
          <w:rFonts w:cs="David" w:hint="cs"/>
          <w:sz w:val="24"/>
          <w:szCs w:val="24"/>
          <w:rtl/>
        </w:rPr>
        <w:t xml:space="preserve"> עד </w:t>
      </w:r>
      <w:r w:rsidR="00167731" w:rsidRPr="00610D2D">
        <w:rPr>
          <w:rFonts w:cs="David" w:hint="cs"/>
          <w:sz w:val="24"/>
          <w:szCs w:val="24"/>
          <w:rtl/>
        </w:rPr>
        <w:t xml:space="preserve">שנתיים </w:t>
      </w:r>
    </w:p>
    <w:p w:rsidR="00167731" w:rsidRDefault="00167731" w:rsidP="008164E4">
      <w:pPr>
        <w:pStyle w:val="a7"/>
        <w:numPr>
          <w:ilvl w:val="0"/>
          <w:numId w:val="12"/>
        </w:numPr>
        <w:spacing w:before="0" w:after="120" w:line="360" w:lineRule="auto"/>
        <w:ind w:left="1218" w:firstLine="0"/>
        <w:rPr>
          <w:rFonts w:cs="David"/>
          <w:sz w:val="24"/>
          <w:szCs w:val="24"/>
        </w:rPr>
      </w:pPr>
      <w:r w:rsidRPr="00610D2D">
        <w:rPr>
          <w:rFonts w:cs="David" w:hint="cs"/>
          <w:sz w:val="24"/>
          <w:szCs w:val="24"/>
          <w:rtl/>
        </w:rPr>
        <w:t xml:space="preserve">בעבירת פשע שדינה חמור מ-10 שנות מאסר </w:t>
      </w:r>
      <w:r w:rsidRPr="00610D2D">
        <w:rPr>
          <w:rFonts w:cs="David"/>
          <w:sz w:val="24"/>
          <w:szCs w:val="24"/>
          <w:rtl/>
        </w:rPr>
        <w:t>–</w:t>
      </w:r>
      <w:r w:rsidRPr="00610D2D">
        <w:rPr>
          <w:rFonts w:cs="David" w:hint="cs"/>
          <w:sz w:val="24"/>
          <w:szCs w:val="24"/>
          <w:rtl/>
        </w:rPr>
        <w:t xml:space="preserve"> אין מגבלה על משך החקירה </w:t>
      </w:r>
    </w:p>
    <w:p w:rsidR="00DC37B2" w:rsidRPr="006F20CF" w:rsidRDefault="00B34B30" w:rsidP="008164E4">
      <w:pPr>
        <w:pStyle w:val="a7"/>
        <w:numPr>
          <w:ilvl w:val="0"/>
          <w:numId w:val="5"/>
        </w:numPr>
        <w:spacing w:before="0" w:after="120" w:line="360" w:lineRule="auto"/>
        <w:ind w:left="1209" w:hanging="420"/>
        <w:rPr>
          <w:rFonts w:cs="David"/>
          <w:sz w:val="24"/>
          <w:szCs w:val="24"/>
          <w:u w:val="single"/>
        </w:rPr>
      </w:pPr>
      <w:r w:rsidRPr="00DC37B2">
        <w:rPr>
          <w:rFonts w:cs="David" w:hint="cs"/>
          <w:sz w:val="24"/>
          <w:szCs w:val="24"/>
          <w:rtl/>
        </w:rPr>
        <w:t xml:space="preserve">קביעת </w:t>
      </w:r>
      <w:r w:rsidRPr="008447D0">
        <w:rPr>
          <w:rFonts w:cs="David" w:hint="cs"/>
          <w:b/>
          <w:bCs/>
          <w:sz w:val="24"/>
          <w:szCs w:val="24"/>
          <w:rtl/>
        </w:rPr>
        <w:t>מגבל</w:t>
      </w:r>
      <w:r w:rsidR="00DC37B2" w:rsidRPr="008447D0">
        <w:rPr>
          <w:rFonts w:cs="David" w:hint="cs"/>
          <w:b/>
          <w:bCs/>
          <w:sz w:val="24"/>
          <w:szCs w:val="24"/>
          <w:rtl/>
        </w:rPr>
        <w:t>ה</w:t>
      </w:r>
      <w:r w:rsidRPr="008447D0">
        <w:rPr>
          <w:rFonts w:cs="David" w:hint="cs"/>
          <w:b/>
          <w:bCs/>
          <w:sz w:val="24"/>
          <w:szCs w:val="24"/>
          <w:rtl/>
        </w:rPr>
        <w:t xml:space="preserve"> על </w:t>
      </w:r>
      <w:r w:rsidR="00DC37B2" w:rsidRPr="008447D0">
        <w:rPr>
          <w:rFonts w:cs="David" w:hint="cs"/>
          <w:b/>
          <w:bCs/>
          <w:sz w:val="24"/>
          <w:szCs w:val="24"/>
          <w:rtl/>
        </w:rPr>
        <w:t>ה</w:t>
      </w:r>
      <w:r w:rsidRPr="008447D0">
        <w:rPr>
          <w:rFonts w:cs="David" w:hint="cs"/>
          <w:b/>
          <w:bCs/>
          <w:sz w:val="24"/>
          <w:szCs w:val="24"/>
          <w:rtl/>
        </w:rPr>
        <w:t>תקופה להשלמת חקירה</w:t>
      </w:r>
      <w:r w:rsidRPr="00DC37B2">
        <w:rPr>
          <w:rFonts w:cs="David" w:hint="cs"/>
          <w:sz w:val="24"/>
          <w:szCs w:val="24"/>
          <w:rtl/>
        </w:rPr>
        <w:t xml:space="preserve"> </w:t>
      </w:r>
      <w:r w:rsidRPr="00DC37B2">
        <w:rPr>
          <w:rFonts w:cs="David"/>
          <w:sz w:val="24"/>
          <w:szCs w:val="24"/>
          <w:rtl/>
        </w:rPr>
        <w:t>–</w:t>
      </w:r>
      <w:r w:rsidR="00DC37B2" w:rsidRPr="00DC37B2">
        <w:rPr>
          <w:rFonts w:cs="David" w:hint="cs"/>
          <w:sz w:val="24"/>
          <w:szCs w:val="24"/>
          <w:rtl/>
        </w:rPr>
        <w:t xml:space="preserve"> </w:t>
      </w:r>
      <w:r w:rsidRPr="00DC37B2">
        <w:rPr>
          <w:rFonts w:cs="David" w:hint="cs"/>
          <w:sz w:val="24"/>
          <w:szCs w:val="24"/>
          <w:rtl/>
        </w:rPr>
        <w:t xml:space="preserve">עד שלושה חודשים + סמכות לפרקליט מחוז להאריך בששה חודשים </w:t>
      </w:r>
      <w:r w:rsidR="006F20CF">
        <w:rPr>
          <w:rFonts w:cs="David" w:hint="cs"/>
          <w:sz w:val="24"/>
          <w:szCs w:val="24"/>
          <w:rtl/>
        </w:rPr>
        <w:t>ב</w:t>
      </w:r>
      <w:r w:rsidRPr="00DC37B2">
        <w:rPr>
          <w:rFonts w:cs="David" w:hint="cs"/>
          <w:sz w:val="24"/>
          <w:szCs w:val="24"/>
          <w:rtl/>
        </w:rPr>
        <w:t>כל פעם</w:t>
      </w:r>
      <w:r w:rsidR="006F20CF">
        <w:rPr>
          <w:rFonts w:cs="David" w:hint="cs"/>
          <w:sz w:val="24"/>
          <w:szCs w:val="24"/>
          <w:rtl/>
        </w:rPr>
        <w:t>, ללא מגבלה סופית</w:t>
      </w:r>
      <w:r w:rsidRPr="006F20CF">
        <w:rPr>
          <w:rFonts w:cs="David" w:hint="cs"/>
          <w:sz w:val="24"/>
          <w:szCs w:val="24"/>
          <w:rtl/>
        </w:rPr>
        <w:t xml:space="preserve">. </w:t>
      </w:r>
    </w:p>
    <w:p w:rsidR="009C2F9A" w:rsidRPr="008447D0" w:rsidRDefault="008447D0" w:rsidP="00021A13">
      <w:pPr>
        <w:pStyle w:val="a7"/>
        <w:spacing w:before="0" w:after="120" w:line="360" w:lineRule="auto"/>
        <w:ind w:left="1209" w:hanging="420"/>
        <w:rPr>
          <w:rFonts w:cs="David"/>
          <w:sz w:val="24"/>
          <w:szCs w:val="24"/>
          <w:rtl/>
        </w:rPr>
      </w:pPr>
      <w:r>
        <w:rPr>
          <w:rFonts w:cs="David" w:hint="cs"/>
          <w:sz w:val="24"/>
          <w:szCs w:val="24"/>
          <w:rtl/>
        </w:rPr>
        <w:t xml:space="preserve">4.     </w:t>
      </w:r>
      <w:r w:rsidR="00535DAA" w:rsidRPr="008447D0">
        <w:rPr>
          <w:rFonts w:cs="David" w:hint="cs"/>
          <w:b/>
          <w:bCs/>
          <w:sz w:val="24"/>
          <w:szCs w:val="24"/>
          <w:rtl/>
        </w:rPr>
        <w:t>מנגנון להארכת משך החקירה</w:t>
      </w:r>
      <w:r w:rsidR="00021A13">
        <w:rPr>
          <w:rFonts w:cs="David" w:hint="cs"/>
          <w:sz w:val="24"/>
          <w:szCs w:val="24"/>
          <w:rtl/>
        </w:rPr>
        <w:t xml:space="preserve"> -</w:t>
      </w:r>
      <w:r w:rsidR="00DC37B2">
        <w:rPr>
          <w:rFonts w:cs="David" w:hint="cs"/>
          <w:sz w:val="24"/>
          <w:szCs w:val="24"/>
          <w:rtl/>
        </w:rPr>
        <w:t xml:space="preserve"> </w:t>
      </w:r>
      <w:r w:rsidR="00DC37B2" w:rsidRPr="008447D0">
        <w:rPr>
          <w:rFonts w:cs="David" w:hint="cs"/>
          <w:sz w:val="24"/>
          <w:szCs w:val="24"/>
          <w:rtl/>
        </w:rPr>
        <w:t>ה</w:t>
      </w:r>
      <w:r w:rsidR="00535DAA" w:rsidRPr="008447D0">
        <w:rPr>
          <w:rFonts w:cs="David" w:hint="cs"/>
          <w:sz w:val="24"/>
          <w:szCs w:val="24"/>
          <w:rtl/>
        </w:rPr>
        <w:t>סמכות להאריך את התקופה</w:t>
      </w:r>
      <w:r w:rsidR="00535DAA" w:rsidRPr="00DC37B2">
        <w:rPr>
          <w:rFonts w:cs="David" w:hint="cs"/>
          <w:sz w:val="24"/>
          <w:szCs w:val="24"/>
          <w:rtl/>
        </w:rPr>
        <w:t xml:space="preserve"> </w:t>
      </w:r>
      <w:r w:rsidR="00DC37B2">
        <w:rPr>
          <w:rFonts w:cs="David" w:hint="cs"/>
          <w:sz w:val="24"/>
          <w:szCs w:val="24"/>
          <w:rtl/>
        </w:rPr>
        <w:t xml:space="preserve">נתונה </w:t>
      </w:r>
      <w:r w:rsidR="006F20CF">
        <w:rPr>
          <w:rFonts w:cs="David" w:hint="cs"/>
          <w:sz w:val="24"/>
          <w:szCs w:val="24"/>
          <w:rtl/>
        </w:rPr>
        <w:t xml:space="preserve">ליועץ המשפטי לממשלה </w:t>
      </w:r>
      <w:r w:rsidR="00535DAA" w:rsidRPr="00DC37B2">
        <w:rPr>
          <w:rFonts w:cs="David" w:hint="cs"/>
          <w:sz w:val="24"/>
          <w:szCs w:val="24"/>
          <w:rtl/>
        </w:rPr>
        <w:t>או למי שהוא הסמיך לכך</w:t>
      </w:r>
      <w:r w:rsidR="006F20CF">
        <w:rPr>
          <w:rFonts w:cs="David" w:hint="cs"/>
          <w:sz w:val="24"/>
          <w:szCs w:val="24"/>
          <w:rtl/>
        </w:rPr>
        <w:t>,</w:t>
      </w:r>
      <w:r>
        <w:rPr>
          <w:rFonts w:cs="David" w:hint="cs"/>
          <w:sz w:val="24"/>
          <w:szCs w:val="24"/>
          <w:rtl/>
        </w:rPr>
        <w:t xml:space="preserve"> </w:t>
      </w:r>
      <w:r w:rsidRPr="008447D0">
        <w:rPr>
          <w:rFonts w:cs="David" w:hint="cs"/>
          <w:sz w:val="24"/>
          <w:szCs w:val="24"/>
          <w:rtl/>
        </w:rPr>
        <w:t xml:space="preserve">לתקופה של </w:t>
      </w:r>
      <w:r w:rsidR="00535DAA" w:rsidRPr="008447D0">
        <w:rPr>
          <w:rFonts w:cs="David" w:hint="cs"/>
          <w:sz w:val="24"/>
          <w:szCs w:val="24"/>
          <w:rtl/>
        </w:rPr>
        <w:t>עד שישה חודשים בכל הארכה</w:t>
      </w:r>
      <w:r w:rsidRPr="008447D0">
        <w:rPr>
          <w:rFonts w:cs="David" w:hint="cs"/>
          <w:sz w:val="24"/>
          <w:szCs w:val="24"/>
          <w:rtl/>
        </w:rPr>
        <w:t>, ללא מגבלה סופית</w:t>
      </w:r>
      <w:r w:rsidR="006F20CF">
        <w:rPr>
          <w:rFonts w:cs="David" w:hint="cs"/>
          <w:sz w:val="24"/>
          <w:szCs w:val="24"/>
          <w:rtl/>
        </w:rPr>
        <w:t>.</w:t>
      </w:r>
    </w:p>
    <w:p w:rsidR="00B34B30" w:rsidRDefault="008447D0" w:rsidP="006F20CF">
      <w:pPr>
        <w:pStyle w:val="a7"/>
        <w:tabs>
          <w:tab w:val="left" w:pos="793"/>
        </w:tabs>
        <w:spacing w:before="0" w:after="120" w:line="360" w:lineRule="auto"/>
        <w:ind w:left="1167" w:hanging="378"/>
        <w:rPr>
          <w:rFonts w:cs="David"/>
          <w:sz w:val="22"/>
          <w:szCs w:val="24"/>
          <w:rtl/>
        </w:rPr>
      </w:pPr>
      <w:r w:rsidRPr="00A048CF">
        <w:rPr>
          <w:rFonts w:cs="David" w:hint="cs"/>
          <w:sz w:val="22"/>
          <w:szCs w:val="24"/>
          <w:rtl/>
        </w:rPr>
        <w:t xml:space="preserve">5.   </w:t>
      </w:r>
      <w:r w:rsidR="00B34B30" w:rsidRPr="00A048CF">
        <w:rPr>
          <w:rFonts w:cs="David" w:hint="cs"/>
          <w:b/>
          <w:bCs/>
          <w:sz w:val="22"/>
          <w:szCs w:val="24"/>
          <w:rtl/>
        </w:rPr>
        <w:t xml:space="preserve">סנקציה </w:t>
      </w:r>
      <w:r w:rsidRPr="00A048CF">
        <w:rPr>
          <w:rFonts w:cs="David" w:hint="cs"/>
          <w:b/>
          <w:bCs/>
          <w:sz w:val="22"/>
          <w:szCs w:val="24"/>
          <w:rtl/>
        </w:rPr>
        <w:t>על הפרת ההוראות</w:t>
      </w:r>
      <w:r w:rsidRPr="00A048CF">
        <w:rPr>
          <w:rFonts w:cs="David" w:hint="cs"/>
          <w:sz w:val="22"/>
          <w:szCs w:val="24"/>
          <w:rtl/>
        </w:rPr>
        <w:t xml:space="preserve"> </w:t>
      </w:r>
      <w:r w:rsidRPr="00A048CF">
        <w:rPr>
          <w:rFonts w:cs="David"/>
          <w:sz w:val="22"/>
          <w:szCs w:val="24"/>
          <w:rtl/>
        </w:rPr>
        <w:t>–</w:t>
      </w:r>
      <w:r w:rsidR="006F20CF" w:rsidRPr="00A048CF">
        <w:rPr>
          <w:rFonts w:cs="David" w:hint="cs"/>
          <w:sz w:val="22"/>
          <w:szCs w:val="24"/>
          <w:rtl/>
        </w:rPr>
        <w:t xml:space="preserve"> אסור לבית המשפט לעשות </w:t>
      </w:r>
      <w:r w:rsidR="00B34B30" w:rsidRPr="00A048CF">
        <w:rPr>
          <w:rFonts w:cs="David" w:hint="cs"/>
          <w:sz w:val="22"/>
          <w:szCs w:val="24"/>
          <w:rtl/>
        </w:rPr>
        <w:t>שימוש בראיות שהושגו בחקירה שחרגה מהתקופות הקבועות בחוק</w:t>
      </w:r>
      <w:r w:rsidR="006F20CF" w:rsidRPr="00A048CF">
        <w:rPr>
          <w:rFonts w:cs="David" w:hint="cs"/>
          <w:sz w:val="22"/>
          <w:szCs w:val="24"/>
          <w:rtl/>
        </w:rPr>
        <w:t>, אלא מטעמים מיוחדים שיירשמו</w:t>
      </w:r>
      <w:r w:rsidR="00B34B30" w:rsidRPr="00A048CF">
        <w:rPr>
          <w:rFonts w:cs="David" w:hint="cs"/>
          <w:sz w:val="22"/>
          <w:szCs w:val="24"/>
          <w:rtl/>
        </w:rPr>
        <w:t>.</w:t>
      </w:r>
      <w:r w:rsidR="00B34B30" w:rsidRPr="008447D0">
        <w:rPr>
          <w:rFonts w:cs="David" w:hint="cs"/>
          <w:sz w:val="22"/>
          <w:szCs w:val="24"/>
          <w:rtl/>
        </w:rPr>
        <w:t xml:space="preserve"> </w:t>
      </w:r>
    </w:p>
    <w:p w:rsidR="008447D0" w:rsidRPr="008447D0" w:rsidRDefault="008447D0" w:rsidP="008447D0">
      <w:pPr>
        <w:pStyle w:val="a7"/>
        <w:spacing w:before="0" w:after="120" w:line="360" w:lineRule="auto"/>
        <w:ind w:left="1167" w:hanging="378"/>
        <w:rPr>
          <w:rFonts w:cs="David"/>
          <w:sz w:val="22"/>
          <w:szCs w:val="24"/>
        </w:rPr>
      </w:pPr>
    </w:p>
    <w:p w:rsidR="00AD5863" w:rsidRDefault="00AD5863" w:rsidP="008447D0">
      <w:pPr>
        <w:pStyle w:val="a7"/>
        <w:spacing w:before="0" w:after="120" w:line="360" w:lineRule="auto"/>
        <w:ind w:firstLine="0"/>
        <w:rPr>
          <w:rFonts w:cs="David"/>
          <w:sz w:val="24"/>
          <w:szCs w:val="24"/>
          <w:u w:val="single"/>
          <w:rtl/>
        </w:rPr>
      </w:pPr>
      <w:r w:rsidRPr="00B34B30">
        <w:rPr>
          <w:rFonts w:cs="David" w:hint="cs"/>
          <w:sz w:val="24"/>
          <w:szCs w:val="24"/>
          <w:u w:val="single"/>
          <w:rtl/>
        </w:rPr>
        <w:t xml:space="preserve">מגבלות על משך </w:t>
      </w:r>
      <w:r>
        <w:rPr>
          <w:rFonts w:cs="David" w:hint="cs"/>
          <w:sz w:val="24"/>
          <w:szCs w:val="24"/>
          <w:u w:val="single"/>
          <w:rtl/>
        </w:rPr>
        <w:t xml:space="preserve">הטיפול בתיק על ידי התביעה </w:t>
      </w:r>
    </w:p>
    <w:p w:rsidR="00345F03" w:rsidRDefault="00345F03" w:rsidP="008164E4">
      <w:pPr>
        <w:pStyle w:val="a7"/>
        <w:numPr>
          <w:ilvl w:val="0"/>
          <w:numId w:val="14"/>
        </w:numPr>
        <w:spacing w:before="0" w:after="120" w:line="360" w:lineRule="auto"/>
        <w:ind w:left="1195" w:hanging="406"/>
        <w:rPr>
          <w:rFonts w:cs="David"/>
          <w:sz w:val="24"/>
          <w:szCs w:val="24"/>
        </w:rPr>
      </w:pPr>
      <w:r w:rsidRPr="00345F03">
        <w:rPr>
          <w:rFonts w:cs="David" w:hint="cs"/>
          <w:sz w:val="24"/>
          <w:szCs w:val="24"/>
          <w:rtl/>
        </w:rPr>
        <w:t xml:space="preserve">קביעת </w:t>
      </w:r>
      <w:r w:rsidRPr="00345F03">
        <w:rPr>
          <w:rFonts w:cs="David" w:hint="cs"/>
          <w:b/>
          <w:bCs/>
          <w:sz w:val="24"/>
          <w:szCs w:val="24"/>
          <w:rtl/>
        </w:rPr>
        <w:t xml:space="preserve">מגבלות על משך </w:t>
      </w:r>
      <w:r>
        <w:rPr>
          <w:rFonts w:cs="David" w:hint="cs"/>
          <w:sz w:val="24"/>
          <w:szCs w:val="24"/>
          <w:rtl/>
        </w:rPr>
        <w:t xml:space="preserve">הטיפול בתיק ע"י גורמי התביעה (פרקליטות או תביעה משטרתית) מיום סיום החקירה </w:t>
      </w:r>
      <w:r w:rsidRPr="00345F03">
        <w:rPr>
          <w:rFonts w:cs="David"/>
          <w:sz w:val="24"/>
          <w:szCs w:val="24"/>
          <w:rtl/>
        </w:rPr>
        <w:t>–</w:t>
      </w:r>
      <w:r w:rsidRPr="00345F03">
        <w:rPr>
          <w:rFonts w:cs="David" w:hint="cs"/>
          <w:sz w:val="24"/>
          <w:szCs w:val="24"/>
          <w:rtl/>
        </w:rPr>
        <w:t xml:space="preserve"> </w:t>
      </w:r>
    </w:p>
    <w:p w:rsidR="00345F03" w:rsidRDefault="00345F03" w:rsidP="008164E4">
      <w:pPr>
        <w:pStyle w:val="a7"/>
        <w:numPr>
          <w:ilvl w:val="0"/>
          <w:numId w:val="15"/>
        </w:numPr>
        <w:spacing w:before="0" w:after="120" w:line="360" w:lineRule="auto"/>
        <w:ind w:firstLine="158"/>
        <w:rPr>
          <w:rFonts w:cs="David"/>
          <w:sz w:val="24"/>
          <w:szCs w:val="24"/>
        </w:rPr>
      </w:pPr>
      <w:r>
        <w:rPr>
          <w:rFonts w:cs="David" w:hint="cs"/>
          <w:sz w:val="24"/>
          <w:szCs w:val="24"/>
          <w:rtl/>
        </w:rPr>
        <w:t xml:space="preserve"> תובע משטרתי </w:t>
      </w:r>
      <w:r>
        <w:rPr>
          <w:rFonts w:cs="David"/>
          <w:sz w:val="24"/>
          <w:szCs w:val="24"/>
          <w:rtl/>
        </w:rPr>
        <w:t>–</w:t>
      </w:r>
      <w:r>
        <w:rPr>
          <w:rFonts w:cs="David" w:hint="cs"/>
          <w:sz w:val="24"/>
          <w:szCs w:val="24"/>
          <w:rtl/>
        </w:rPr>
        <w:t xml:space="preserve"> מוגבל לתקופה של 9 חודשים; </w:t>
      </w:r>
    </w:p>
    <w:p w:rsidR="00345F03" w:rsidRDefault="00345F03" w:rsidP="008164E4">
      <w:pPr>
        <w:pStyle w:val="a7"/>
        <w:numPr>
          <w:ilvl w:val="0"/>
          <w:numId w:val="15"/>
        </w:numPr>
        <w:spacing w:before="0" w:after="120" w:line="360" w:lineRule="auto"/>
        <w:ind w:firstLine="158"/>
        <w:rPr>
          <w:rFonts w:cs="David"/>
          <w:sz w:val="24"/>
          <w:szCs w:val="24"/>
        </w:rPr>
      </w:pPr>
      <w:r>
        <w:rPr>
          <w:rFonts w:cs="David" w:hint="cs"/>
          <w:sz w:val="24"/>
          <w:szCs w:val="24"/>
          <w:rtl/>
        </w:rPr>
        <w:t xml:space="preserve">פרקליט </w:t>
      </w:r>
      <w:r>
        <w:rPr>
          <w:rFonts w:cs="David"/>
          <w:sz w:val="24"/>
          <w:szCs w:val="24"/>
          <w:rtl/>
        </w:rPr>
        <w:t>–</w:t>
      </w:r>
      <w:r>
        <w:rPr>
          <w:rFonts w:cs="David" w:hint="cs"/>
          <w:sz w:val="24"/>
          <w:szCs w:val="24"/>
          <w:rtl/>
        </w:rPr>
        <w:t xml:space="preserve"> מוגבל לתקופה של עד 12 חודשים; </w:t>
      </w:r>
    </w:p>
    <w:p w:rsidR="00345F03" w:rsidRDefault="00345F03" w:rsidP="008164E4">
      <w:pPr>
        <w:pStyle w:val="a7"/>
        <w:numPr>
          <w:ilvl w:val="0"/>
          <w:numId w:val="15"/>
        </w:numPr>
        <w:spacing w:before="0" w:after="120" w:line="360" w:lineRule="auto"/>
        <w:ind w:firstLine="158"/>
        <w:rPr>
          <w:rFonts w:cs="David"/>
          <w:sz w:val="24"/>
          <w:szCs w:val="24"/>
        </w:rPr>
      </w:pPr>
      <w:r>
        <w:rPr>
          <w:rFonts w:cs="David" w:hint="cs"/>
          <w:sz w:val="24"/>
          <w:szCs w:val="24"/>
          <w:rtl/>
        </w:rPr>
        <w:t xml:space="preserve">אם מדובר על פשע חמור או על חקירה מורכבת המחייבת עדויות/ראיות מחו"ל  </w:t>
      </w:r>
      <w:r>
        <w:rPr>
          <w:rFonts w:cs="David"/>
          <w:sz w:val="24"/>
          <w:szCs w:val="24"/>
          <w:rtl/>
        </w:rPr>
        <w:t>–</w:t>
      </w:r>
      <w:r>
        <w:rPr>
          <w:rFonts w:cs="David" w:hint="cs"/>
          <w:sz w:val="24"/>
          <w:szCs w:val="24"/>
          <w:rtl/>
        </w:rPr>
        <w:t xml:space="preserve"> עד 18 חודשים. </w:t>
      </w:r>
    </w:p>
    <w:p w:rsidR="00FB3F51" w:rsidRPr="00FB3F51" w:rsidRDefault="008F48F0" w:rsidP="008164E4">
      <w:pPr>
        <w:pStyle w:val="a7"/>
        <w:numPr>
          <w:ilvl w:val="0"/>
          <w:numId w:val="14"/>
        </w:numPr>
        <w:spacing w:before="0" w:after="120" w:line="360" w:lineRule="auto"/>
        <w:ind w:left="1218" w:hanging="425"/>
        <w:rPr>
          <w:rFonts w:cs="David"/>
          <w:sz w:val="20"/>
          <w:szCs w:val="22"/>
        </w:rPr>
      </w:pPr>
      <w:r w:rsidRPr="008F48F0">
        <w:rPr>
          <w:rFonts w:cs="David" w:hint="cs"/>
          <w:b/>
          <w:bCs/>
          <w:sz w:val="22"/>
          <w:szCs w:val="24"/>
          <w:rtl/>
        </w:rPr>
        <w:t>הארכה</w:t>
      </w:r>
      <w:r>
        <w:rPr>
          <w:rFonts w:cs="David" w:hint="cs"/>
          <w:sz w:val="22"/>
          <w:szCs w:val="24"/>
          <w:rtl/>
        </w:rPr>
        <w:t xml:space="preserve"> - </w:t>
      </w:r>
      <w:r w:rsidR="00301534" w:rsidRPr="00FB3F51">
        <w:rPr>
          <w:rFonts w:cs="David" w:hint="cs"/>
          <w:sz w:val="22"/>
          <w:szCs w:val="24"/>
          <w:rtl/>
        </w:rPr>
        <w:t>אין אפשרות להאר</w:t>
      </w:r>
      <w:r w:rsidR="00FB3F51" w:rsidRPr="00FB3F51">
        <w:rPr>
          <w:rFonts w:cs="David" w:hint="cs"/>
          <w:sz w:val="22"/>
          <w:szCs w:val="24"/>
          <w:rtl/>
        </w:rPr>
        <w:t>יך</w:t>
      </w:r>
      <w:r w:rsidR="00301534" w:rsidRPr="00FB3F51">
        <w:rPr>
          <w:rFonts w:cs="David" w:hint="cs"/>
          <w:sz w:val="22"/>
          <w:szCs w:val="24"/>
          <w:rtl/>
        </w:rPr>
        <w:t xml:space="preserve"> </w:t>
      </w:r>
      <w:r w:rsidR="00FB3F51" w:rsidRPr="00FB3F51">
        <w:rPr>
          <w:rFonts w:cs="David" w:hint="cs"/>
          <w:sz w:val="22"/>
          <w:szCs w:val="24"/>
          <w:rtl/>
        </w:rPr>
        <w:t xml:space="preserve">את </w:t>
      </w:r>
      <w:r w:rsidR="00301534" w:rsidRPr="00FB3F51">
        <w:rPr>
          <w:rFonts w:cs="David" w:hint="cs"/>
          <w:sz w:val="22"/>
          <w:szCs w:val="24"/>
          <w:rtl/>
        </w:rPr>
        <w:t xml:space="preserve">התקופה; </w:t>
      </w:r>
      <w:r w:rsidR="006F20CF" w:rsidRPr="00993AB8">
        <w:rPr>
          <w:rFonts w:cs="David" w:hint="cs"/>
          <w:i/>
          <w:iCs/>
          <w:sz w:val="20"/>
          <w:szCs w:val="22"/>
          <w:highlight w:val="yellow"/>
          <w:u w:val="single"/>
          <w:rtl/>
        </w:rPr>
        <w:t>שאלה לדיון</w:t>
      </w:r>
      <w:r w:rsidR="006F20CF" w:rsidRPr="006F20CF">
        <w:rPr>
          <w:rFonts w:cs="David" w:hint="cs"/>
          <w:i/>
          <w:iCs/>
          <w:sz w:val="20"/>
          <w:szCs w:val="22"/>
          <w:rtl/>
        </w:rPr>
        <w:t xml:space="preserve">: האם לא רצוי  לאפשר </w:t>
      </w:r>
      <w:r w:rsidR="006F20CF">
        <w:rPr>
          <w:rFonts w:cs="David" w:hint="cs"/>
          <w:i/>
          <w:iCs/>
          <w:sz w:val="20"/>
          <w:szCs w:val="22"/>
          <w:rtl/>
        </w:rPr>
        <w:lastRenderedPageBreak/>
        <w:t>הארכת התקופה בנסיבות המצדיקות זאת?</w:t>
      </w:r>
      <w:r w:rsidR="006F20CF" w:rsidRPr="006F20CF">
        <w:rPr>
          <w:rFonts w:cs="David" w:hint="cs"/>
          <w:i/>
          <w:iCs/>
          <w:sz w:val="20"/>
          <w:szCs w:val="22"/>
          <w:rtl/>
        </w:rPr>
        <w:t>.</w:t>
      </w:r>
    </w:p>
    <w:p w:rsidR="00E00428" w:rsidRPr="00A048CF" w:rsidRDefault="00E00428" w:rsidP="008164E4">
      <w:pPr>
        <w:pStyle w:val="a7"/>
        <w:numPr>
          <w:ilvl w:val="0"/>
          <w:numId w:val="14"/>
        </w:numPr>
        <w:spacing w:before="0" w:after="120" w:line="360" w:lineRule="auto"/>
        <w:ind w:left="1218" w:hanging="425"/>
        <w:rPr>
          <w:rFonts w:cs="David"/>
          <w:sz w:val="20"/>
          <w:szCs w:val="22"/>
        </w:rPr>
      </w:pPr>
      <w:r w:rsidRPr="00A048CF">
        <w:rPr>
          <w:rFonts w:cs="David" w:hint="cs"/>
          <w:b/>
          <w:bCs/>
          <w:sz w:val="22"/>
          <w:szCs w:val="24"/>
          <w:rtl/>
        </w:rPr>
        <w:t>סנקציה</w:t>
      </w:r>
      <w:r w:rsidRPr="00A048CF">
        <w:rPr>
          <w:rFonts w:cs="David" w:hint="cs"/>
          <w:sz w:val="22"/>
          <w:szCs w:val="24"/>
          <w:rtl/>
        </w:rPr>
        <w:t xml:space="preserve"> </w:t>
      </w:r>
      <w:r w:rsidR="006F20CF" w:rsidRPr="00A048CF">
        <w:rPr>
          <w:rFonts w:cs="David" w:hint="cs"/>
          <w:b/>
          <w:bCs/>
          <w:sz w:val="22"/>
          <w:szCs w:val="24"/>
          <w:rtl/>
        </w:rPr>
        <w:t>על הפרת ההוראות</w:t>
      </w:r>
      <w:r w:rsidR="006F20CF" w:rsidRPr="00A048CF">
        <w:rPr>
          <w:rFonts w:cs="David" w:hint="cs"/>
          <w:sz w:val="22"/>
          <w:szCs w:val="24"/>
          <w:rtl/>
        </w:rPr>
        <w:t xml:space="preserve"> </w:t>
      </w:r>
      <w:r w:rsidR="008F48F0" w:rsidRPr="00A048CF">
        <w:rPr>
          <w:rFonts w:cs="David"/>
          <w:sz w:val="22"/>
          <w:szCs w:val="24"/>
          <w:rtl/>
        </w:rPr>
        <w:t>–</w:t>
      </w:r>
      <w:r w:rsidRPr="00A048CF">
        <w:rPr>
          <w:rFonts w:cs="David" w:hint="cs"/>
          <w:sz w:val="22"/>
          <w:szCs w:val="24"/>
          <w:rtl/>
        </w:rPr>
        <w:t xml:space="preserve"> </w:t>
      </w:r>
      <w:r w:rsidR="008F48F0" w:rsidRPr="00A048CF">
        <w:rPr>
          <w:rFonts w:cs="David" w:hint="cs"/>
          <w:sz w:val="22"/>
          <w:szCs w:val="24"/>
          <w:rtl/>
        </w:rPr>
        <w:t xml:space="preserve">לבית המשפט אסור </w:t>
      </w:r>
      <w:r w:rsidRPr="00A048CF">
        <w:rPr>
          <w:rFonts w:cs="David" w:hint="cs"/>
          <w:sz w:val="22"/>
          <w:szCs w:val="24"/>
          <w:rtl/>
        </w:rPr>
        <w:t>לדון בכתב אישום שהוגש בחריגה מהתקופות.</w:t>
      </w:r>
      <w:r w:rsidR="006F20CF" w:rsidRPr="00A048CF">
        <w:rPr>
          <w:rFonts w:cs="David" w:hint="cs"/>
          <w:sz w:val="22"/>
          <w:szCs w:val="24"/>
          <w:rtl/>
        </w:rPr>
        <w:t xml:space="preserve"> </w:t>
      </w:r>
      <w:r w:rsidR="006F20CF" w:rsidRPr="00A048CF">
        <w:rPr>
          <w:rFonts w:cs="David" w:hint="cs"/>
          <w:i/>
          <w:iCs/>
          <w:sz w:val="20"/>
          <w:szCs w:val="22"/>
          <w:highlight w:val="yellow"/>
          <w:u w:val="single"/>
          <w:rtl/>
        </w:rPr>
        <w:t>שאלה לדיון</w:t>
      </w:r>
      <w:r w:rsidR="006F20CF" w:rsidRPr="00A048CF">
        <w:rPr>
          <w:rFonts w:cs="David" w:hint="cs"/>
          <w:i/>
          <w:iCs/>
          <w:sz w:val="20"/>
          <w:szCs w:val="22"/>
          <w:rtl/>
        </w:rPr>
        <w:t xml:space="preserve">: האם לא רצוי לאפשר </w:t>
      </w:r>
      <w:r w:rsidR="0017725C" w:rsidRPr="00A048CF">
        <w:rPr>
          <w:rFonts w:cs="David" w:hint="cs"/>
          <w:i/>
          <w:iCs/>
          <w:sz w:val="20"/>
          <w:szCs w:val="22"/>
          <w:rtl/>
        </w:rPr>
        <w:t xml:space="preserve">לבית המשפט לדון בכתב האישום </w:t>
      </w:r>
      <w:r w:rsidR="006F20CF" w:rsidRPr="00A048CF">
        <w:rPr>
          <w:rFonts w:cs="David" w:hint="cs"/>
          <w:i/>
          <w:iCs/>
          <w:sz w:val="20"/>
          <w:szCs w:val="22"/>
          <w:rtl/>
        </w:rPr>
        <w:t>מטעמים מיוחדים שיירשמו</w:t>
      </w:r>
      <w:r w:rsidR="00CC1B27" w:rsidRPr="00A048CF">
        <w:rPr>
          <w:rFonts w:cs="David" w:hint="cs"/>
          <w:i/>
          <w:iCs/>
          <w:sz w:val="20"/>
          <w:szCs w:val="22"/>
          <w:rtl/>
        </w:rPr>
        <w:t>?</w:t>
      </w:r>
    </w:p>
    <w:p w:rsidR="00E72B15" w:rsidRDefault="00E72B15" w:rsidP="00E72B15">
      <w:pPr>
        <w:pStyle w:val="a7"/>
        <w:spacing w:before="0" w:after="120" w:line="360" w:lineRule="auto"/>
        <w:ind w:left="700" w:firstLine="0"/>
        <w:rPr>
          <w:rFonts w:cs="David"/>
          <w:b/>
          <w:bCs/>
          <w:sz w:val="22"/>
          <w:szCs w:val="24"/>
          <w:rtl/>
        </w:rPr>
      </w:pPr>
    </w:p>
    <w:p w:rsidR="00E72B15" w:rsidRDefault="00E72B15" w:rsidP="00E72B15">
      <w:pPr>
        <w:pStyle w:val="a7"/>
        <w:spacing w:before="0" w:after="120" w:line="360" w:lineRule="auto"/>
        <w:ind w:left="700" w:firstLine="0"/>
        <w:rPr>
          <w:rFonts w:cs="David"/>
          <w:sz w:val="24"/>
          <w:szCs w:val="24"/>
          <w:u w:val="single"/>
          <w:rtl/>
        </w:rPr>
      </w:pPr>
      <w:r>
        <w:rPr>
          <w:rFonts w:cs="David" w:hint="cs"/>
          <w:sz w:val="24"/>
          <w:szCs w:val="24"/>
          <w:u w:val="single"/>
          <w:rtl/>
        </w:rPr>
        <w:t xml:space="preserve">תחולה </w:t>
      </w:r>
    </w:p>
    <w:p w:rsidR="00E72B15" w:rsidRDefault="00E72B15" w:rsidP="00E72B15">
      <w:pPr>
        <w:pStyle w:val="a7"/>
        <w:spacing w:before="0" w:after="120" w:line="360" w:lineRule="auto"/>
        <w:ind w:left="700" w:firstLine="0"/>
        <w:rPr>
          <w:rFonts w:cs="David"/>
          <w:sz w:val="22"/>
          <w:szCs w:val="24"/>
        </w:rPr>
      </w:pPr>
      <w:r w:rsidRPr="002C4BED">
        <w:rPr>
          <w:rFonts w:cs="David" w:hint="cs"/>
          <w:sz w:val="22"/>
          <w:szCs w:val="24"/>
          <w:rtl/>
        </w:rPr>
        <w:t xml:space="preserve">מוצע כי הוראות החוק יחולו </w:t>
      </w:r>
      <w:r>
        <w:rPr>
          <w:rFonts w:cs="David" w:hint="cs"/>
          <w:sz w:val="22"/>
          <w:szCs w:val="24"/>
          <w:rtl/>
        </w:rPr>
        <w:t xml:space="preserve">רק על חקירות שהחלו לאחר יום פרסום החוק. </w:t>
      </w:r>
    </w:p>
    <w:p w:rsidR="00E84C32" w:rsidRPr="00E72B15" w:rsidRDefault="00E84C32" w:rsidP="00E84C32">
      <w:pPr>
        <w:pStyle w:val="a7"/>
        <w:spacing w:before="0" w:after="120" w:line="360" w:lineRule="auto"/>
        <w:ind w:left="1218" w:firstLine="0"/>
        <w:rPr>
          <w:rFonts w:cs="David"/>
          <w:sz w:val="22"/>
          <w:szCs w:val="24"/>
        </w:rPr>
      </w:pPr>
    </w:p>
    <w:p w:rsidR="008F48F0" w:rsidRDefault="008F48F0" w:rsidP="008164E4">
      <w:pPr>
        <w:pStyle w:val="a7"/>
        <w:numPr>
          <w:ilvl w:val="0"/>
          <w:numId w:val="13"/>
        </w:numPr>
        <w:spacing w:before="0" w:after="120" w:line="360" w:lineRule="auto"/>
        <w:ind w:left="793" w:hanging="425"/>
        <w:rPr>
          <w:rFonts w:cs="David"/>
          <w:sz w:val="24"/>
          <w:szCs w:val="24"/>
          <w:u w:val="single"/>
        </w:rPr>
      </w:pPr>
      <w:r w:rsidRPr="00DC37B2">
        <w:rPr>
          <w:rFonts w:cs="David" w:hint="cs"/>
          <w:sz w:val="24"/>
          <w:szCs w:val="24"/>
          <w:u w:val="single"/>
          <w:rtl/>
        </w:rPr>
        <w:t xml:space="preserve">להלן </w:t>
      </w:r>
      <w:r w:rsidRPr="008F48F0">
        <w:rPr>
          <w:rFonts w:cs="David" w:hint="cs"/>
          <w:sz w:val="24"/>
          <w:szCs w:val="24"/>
          <w:u w:val="single"/>
          <w:rtl/>
        </w:rPr>
        <w:t xml:space="preserve">ההבדלים העיקריים בין ההסדר שבהצעת החוק לבין ההסדר שלפי ההנחיות </w:t>
      </w:r>
      <w:r w:rsidRPr="003E3293">
        <w:rPr>
          <w:rFonts w:cs="David" w:hint="cs"/>
          <w:sz w:val="24"/>
          <w:szCs w:val="24"/>
          <w:u w:val="single"/>
          <w:rtl/>
        </w:rPr>
        <w:t>הפנימיות</w:t>
      </w:r>
      <w:r w:rsidR="00A048CF" w:rsidRPr="003E3293">
        <w:rPr>
          <w:rFonts w:cs="David" w:hint="cs"/>
          <w:sz w:val="24"/>
          <w:szCs w:val="24"/>
          <w:u w:val="single"/>
          <w:rtl/>
        </w:rPr>
        <w:t xml:space="preserve"> </w:t>
      </w:r>
      <w:r w:rsidR="00A048CF" w:rsidRPr="003E3293">
        <w:rPr>
          <w:rFonts w:cs="David"/>
          <w:sz w:val="24"/>
          <w:szCs w:val="24"/>
          <w:u w:val="single"/>
          <w:rtl/>
        </w:rPr>
        <w:t>הקיימות כיום</w:t>
      </w:r>
      <w:r w:rsidRPr="003E3293">
        <w:rPr>
          <w:rFonts w:cs="David" w:hint="cs"/>
          <w:sz w:val="24"/>
          <w:szCs w:val="24"/>
          <w:u w:val="single"/>
          <w:rtl/>
        </w:rPr>
        <w:t>:</w:t>
      </w:r>
      <w:r w:rsidRPr="00DC37B2">
        <w:rPr>
          <w:rFonts w:cs="David" w:hint="cs"/>
          <w:sz w:val="24"/>
          <w:szCs w:val="24"/>
          <w:u w:val="single"/>
          <w:rtl/>
        </w:rPr>
        <w:t xml:space="preserve"> </w:t>
      </w:r>
    </w:p>
    <w:p w:rsidR="008F48F0" w:rsidRPr="008F48F0" w:rsidRDefault="008F48F0" w:rsidP="008164E4">
      <w:pPr>
        <w:pStyle w:val="a7"/>
        <w:numPr>
          <w:ilvl w:val="0"/>
          <w:numId w:val="16"/>
        </w:numPr>
        <w:spacing w:before="0" w:after="120" w:line="360" w:lineRule="auto"/>
        <w:rPr>
          <w:rFonts w:cs="David"/>
          <w:sz w:val="24"/>
          <w:szCs w:val="24"/>
          <w:u w:val="single"/>
        </w:rPr>
      </w:pPr>
      <w:r w:rsidRPr="008F48F0">
        <w:rPr>
          <w:rFonts w:cs="David" w:hint="cs"/>
          <w:b/>
          <w:bCs/>
          <w:sz w:val="24"/>
          <w:szCs w:val="24"/>
          <w:rtl/>
        </w:rPr>
        <w:t>המועד שממנו מונים את התקופות</w:t>
      </w:r>
      <w:r w:rsidRPr="008F48F0">
        <w:rPr>
          <w:rFonts w:cs="David" w:hint="cs"/>
          <w:sz w:val="24"/>
          <w:szCs w:val="24"/>
          <w:rtl/>
        </w:rPr>
        <w:t xml:space="preserve">: </w:t>
      </w:r>
    </w:p>
    <w:p w:rsidR="008F48F0" w:rsidRPr="008F48F0" w:rsidRDefault="008F48F0" w:rsidP="008164E4">
      <w:pPr>
        <w:pStyle w:val="a7"/>
        <w:numPr>
          <w:ilvl w:val="0"/>
          <w:numId w:val="17"/>
        </w:numPr>
        <w:spacing w:before="0" w:after="120" w:line="360" w:lineRule="auto"/>
        <w:ind w:left="1475" w:hanging="266"/>
        <w:rPr>
          <w:rFonts w:cs="David"/>
          <w:sz w:val="24"/>
          <w:szCs w:val="24"/>
          <w:u w:val="single"/>
        </w:rPr>
      </w:pPr>
      <w:r w:rsidRPr="000B1020">
        <w:rPr>
          <w:rFonts w:cs="David" w:hint="cs"/>
          <w:sz w:val="24"/>
          <w:szCs w:val="24"/>
          <w:u w:val="single"/>
          <w:rtl/>
        </w:rPr>
        <w:t>בכל הנוגע לחקירה במשטרה</w:t>
      </w:r>
      <w:r w:rsidRPr="008F48F0">
        <w:rPr>
          <w:rFonts w:cs="David" w:hint="cs"/>
          <w:sz w:val="24"/>
          <w:szCs w:val="24"/>
          <w:rtl/>
        </w:rPr>
        <w:t xml:space="preserve"> </w:t>
      </w:r>
      <w:r w:rsidRPr="008F48F0">
        <w:rPr>
          <w:rFonts w:cs="David"/>
          <w:sz w:val="24"/>
          <w:szCs w:val="24"/>
          <w:rtl/>
        </w:rPr>
        <w:t>–</w:t>
      </w:r>
      <w:r w:rsidRPr="008F48F0">
        <w:rPr>
          <w:rFonts w:cs="David" w:hint="cs"/>
          <w:sz w:val="24"/>
          <w:szCs w:val="24"/>
          <w:rtl/>
        </w:rPr>
        <w:t xml:space="preserve"> לפי הצעות החוק ממועד פתיחת החקירה; לפי ההנחיות הפנימיות </w:t>
      </w:r>
      <w:r w:rsidRPr="008F48F0">
        <w:rPr>
          <w:rFonts w:cs="David"/>
          <w:sz w:val="24"/>
          <w:szCs w:val="24"/>
          <w:rtl/>
        </w:rPr>
        <w:t>–</w:t>
      </w:r>
      <w:r w:rsidRPr="008F48F0">
        <w:rPr>
          <w:rFonts w:cs="David" w:hint="cs"/>
          <w:sz w:val="24"/>
          <w:szCs w:val="24"/>
          <w:rtl/>
        </w:rPr>
        <w:t xml:space="preserve"> ממועד החשדתו של החשוד במשטרה. </w:t>
      </w:r>
      <w:r w:rsidR="00993AB8" w:rsidRPr="00993AB8">
        <w:rPr>
          <w:rFonts w:cs="David" w:hint="cs"/>
          <w:i/>
          <w:iCs/>
          <w:sz w:val="22"/>
          <w:szCs w:val="22"/>
          <w:highlight w:val="yellow"/>
          <w:u w:val="single"/>
          <w:rtl/>
        </w:rPr>
        <w:t>שאלה לדיון</w:t>
      </w:r>
      <w:r w:rsidR="00993AB8" w:rsidRPr="00993AB8">
        <w:rPr>
          <w:rFonts w:cs="David" w:hint="cs"/>
          <w:i/>
          <w:iCs/>
          <w:sz w:val="22"/>
          <w:szCs w:val="22"/>
          <w:rtl/>
        </w:rPr>
        <w:t xml:space="preserve">: </w:t>
      </w:r>
      <w:r w:rsidR="00993AB8" w:rsidRPr="00993AB8">
        <w:rPr>
          <w:rFonts w:cs="David" w:hint="cs"/>
          <w:i/>
          <w:iCs/>
          <w:color w:val="auto"/>
          <w:sz w:val="22"/>
          <w:szCs w:val="22"/>
          <w:rtl/>
        </w:rPr>
        <w:t>כיצד מפרשים "מיום החשדתו"? האם זה לא פתח רחב מדי לשיקול דעת ?</w:t>
      </w:r>
    </w:p>
    <w:p w:rsidR="0017725C" w:rsidRPr="008F48F0" w:rsidRDefault="008F48F0" w:rsidP="008164E4">
      <w:pPr>
        <w:pStyle w:val="a7"/>
        <w:numPr>
          <w:ilvl w:val="0"/>
          <w:numId w:val="17"/>
        </w:numPr>
        <w:spacing w:before="0" w:after="120" w:line="360" w:lineRule="auto"/>
        <w:ind w:left="1475" w:hanging="266"/>
        <w:rPr>
          <w:rFonts w:cs="David"/>
          <w:sz w:val="24"/>
          <w:szCs w:val="24"/>
          <w:u w:val="single"/>
        </w:rPr>
      </w:pPr>
      <w:r w:rsidRPr="000B1020">
        <w:rPr>
          <w:rFonts w:cs="David" w:hint="cs"/>
          <w:sz w:val="24"/>
          <w:szCs w:val="24"/>
          <w:u w:val="single"/>
          <w:rtl/>
        </w:rPr>
        <w:t>בכל הנוגע להליכי התביעה</w:t>
      </w:r>
      <w:r>
        <w:rPr>
          <w:rFonts w:cs="David" w:hint="cs"/>
          <w:sz w:val="24"/>
          <w:szCs w:val="24"/>
          <w:rtl/>
        </w:rPr>
        <w:t xml:space="preserve"> - </w:t>
      </w:r>
      <w:r w:rsidRPr="008F48F0">
        <w:rPr>
          <w:rFonts w:cs="David" w:hint="cs"/>
          <w:sz w:val="24"/>
          <w:szCs w:val="24"/>
          <w:rtl/>
        </w:rPr>
        <w:t xml:space="preserve">לפי הצעות החוק ממועד </w:t>
      </w:r>
      <w:r>
        <w:rPr>
          <w:rFonts w:cs="David" w:hint="cs"/>
          <w:sz w:val="24"/>
          <w:szCs w:val="24"/>
          <w:rtl/>
        </w:rPr>
        <w:t xml:space="preserve">סיום </w:t>
      </w:r>
      <w:r w:rsidRPr="008F48F0">
        <w:rPr>
          <w:rFonts w:cs="David" w:hint="cs"/>
          <w:sz w:val="24"/>
          <w:szCs w:val="24"/>
          <w:rtl/>
        </w:rPr>
        <w:t xml:space="preserve">החקירה; לפי ההנחיות הפנימיות </w:t>
      </w:r>
      <w:r w:rsidRPr="008F48F0">
        <w:rPr>
          <w:rFonts w:cs="David"/>
          <w:sz w:val="24"/>
          <w:szCs w:val="24"/>
          <w:rtl/>
        </w:rPr>
        <w:t>–</w:t>
      </w:r>
      <w:r w:rsidRPr="008F48F0">
        <w:rPr>
          <w:rFonts w:cs="David" w:hint="cs"/>
          <w:sz w:val="24"/>
          <w:szCs w:val="24"/>
          <w:rtl/>
        </w:rPr>
        <w:t xml:space="preserve"> ממועד </w:t>
      </w:r>
      <w:r w:rsidR="009F61D7">
        <w:rPr>
          <w:rFonts w:cs="David" w:hint="cs"/>
          <w:sz w:val="24"/>
          <w:szCs w:val="24"/>
          <w:rtl/>
        </w:rPr>
        <w:t xml:space="preserve">קליטת </w:t>
      </w:r>
      <w:r>
        <w:rPr>
          <w:rFonts w:cs="David" w:hint="cs"/>
          <w:sz w:val="24"/>
          <w:szCs w:val="24"/>
          <w:rtl/>
        </w:rPr>
        <w:t xml:space="preserve">התיק </w:t>
      </w:r>
      <w:r w:rsidR="009F61D7">
        <w:rPr>
          <w:rFonts w:cs="David" w:hint="cs"/>
          <w:sz w:val="24"/>
          <w:szCs w:val="24"/>
          <w:rtl/>
        </w:rPr>
        <w:t>ב</w:t>
      </w:r>
      <w:r>
        <w:rPr>
          <w:rFonts w:cs="David" w:hint="cs"/>
          <w:sz w:val="24"/>
          <w:szCs w:val="24"/>
          <w:rtl/>
        </w:rPr>
        <w:t>תביעה</w:t>
      </w:r>
      <w:r w:rsidRPr="008F48F0">
        <w:rPr>
          <w:rFonts w:cs="David" w:hint="cs"/>
          <w:sz w:val="24"/>
          <w:szCs w:val="24"/>
          <w:rtl/>
        </w:rPr>
        <w:t>.</w:t>
      </w:r>
      <w:r w:rsidR="0017725C">
        <w:rPr>
          <w:rFonts w:cs="David" w:hint="cs"/>
          <w:sz w:val="24"/>
          <w:szCs w:val="24"/>
          <w:u w:val="single"/>
          <w:rtl/>
        </w:rPr>
        <w:t xml:space="preserve"> </w:t>
      </w:r>
      <w:r w:rsidR="0017725C">
        <w:rPr>
          <w:rFonts w:cs="David" w:hint="cs"/>
          <w:i/>
          <w:iCs/>
          <w:sz w:val="22"/>
          <w:szCs w:val="22"/>
          <w:highlight w:val="yellow"/>
          <w:u w:val="single"/>
          <w:rtl/>
        </w:rPr>
        <w:t xml:space="preserve">הערה </w:t>
      </w:r>
      <w:r w:rsidR="0017725C" w:rsidRPr="00993AB8">
        <w:rPr>
          <w:rFonts w:cs="David" w:hint="cs"/>
          <w:i/>
          <w:iCs/>
          <w:sz w:val="22"/>
          <w:szCs w:val="22"/>
          <w:highlight w:val="yellow"/>
          <w:u w:val="single"/>
          <w:rtl/>
        </w:rPr>
        <w:t>לדיון</w:t>
      </w:r>
      <w:r w:rsidR="0017725C" w:rsidRPr="00993AB8">
        <w:rPr>
          <w:rFonts w:cs="David" w:hint="cs"/>
          <w:i/>
          <w:iCs/>
          <w:sz w:val="22"/>
          <w:szCs w:val="22"/>
          <w:rtl/>
        </w:rPr>
        <w:t xml:space="preserve">: </w:t>
      </w:r>
      <w:r w:rsidR="0017725C">
        <w:rPr>
          <w:rFonts w:cs="David" w:hint="cs"/>
          <w:i/>
          <w:iCs/>
          <w:color w:val="auto"/>
          <w:sz w:val="22"/>
          <w:szCs w:val="22"/>
          <w:rtl/>
        </w:rPr>
        <w:t>המדינה  אחראית להליכי החקירה מראשיתם ועד הגשת כתב האישום (וגם לאחר מכן) גם אם בפועל ג</w:t>
      </w:r>
      <w:r w:rsidR="00CC1B27">
        <w:rPr>
          <w:rFonts w:cs="David" w:hint="cs"/>
          <w:i/>
          <w:iCs/>
          <w:color w:val="auto"/>
          <w:sz w:val="22"/>
          <w:szCs w:val="22"/>
          <w:rtl/>
        </w:rPr>
        <w:t>ורמים מקצועי</w:t>
      </w:r>
      <w:r w:rsidR="0017725C">
        <w:rPr>
          <w:rFonts w:cs="David" w:hint="cs"/>
          <w:i/>
          <w:iCs/>
          <w:color w:val="auto"/>
          <w:sz w:val="22"/>
          <w:szCs w:val="22"/>
          <w:rtl/>
        </w:rPr>
        <w:t>ים שונים עוסקים בהליכים שונים</w:t>
      </w:r>
      <w:r w:rsidR="00CC1B27">
        <w:rPr>
          <w:rFonts w:cs="David" w:hint="cs"/>
          <w:i/>
          <w:iCs/>
          <w:color w:val="auto"/>
          <w:sz w:val="22"/>
          <w:szCs w:val="22"/>
          <w:rtl/>
        </w:rPr>
        <w:t>,</w:t>
      </w:r>
      <w:r w:rsidR="0017725C">
        <w:rPr>
          <w:rFonts w:cs="David" w:hint="cs"/>
          <w:i/>
          <w:iCs/>
          <w:color w:val="auto"/>
          <w:sz w:val="22"/>
          <w:szCs w:val="22"/>
          <w:rtl/>
        </w:rPr>
        <w:t xml:space="preserve"> אין הצדקה להותיר את תקופות המעבר מסיום החקירה ועד קליטת התיק בתביעה מחוץ לאחריות של גורם כלשהו. </w:t>
      </w:r>
    </w:p>
    <w:p w:rsidR="009F61D7" w:rsidRPr="00CC1B27" w:rsidRDefault="009F61D7" w:rsidP="009F61D7">
      <w:pPr>
        <w:pStyle w:val="a7"/>
        <w:spacing w:before="0" w:after="120" w:line="360" w:lineRule="auto"/>
        <w:ind w:left="1475" w:firstLine="0"/>
        <w:rPr>
          <w:rFonts w:cs="David"/>
          <w:sz w:val="24"/>
          <w:szCs w:val="24"/>
          <w:u w:val="single"/>
        </w:rPr>
      </w:pPr>
    </w:p>
    <w:p w:rsidR="008F48F0" w:rsidRPr="008F48F0" w:rsidRDefault="008F48F0" w:rsidP="008164E4">
      <w:pPr>
        <w:pStyle w:val="a7"/>
        <w:numPr>
          <w:ilvl w:val="0"/>
          <w:numId w:val="16"/>
        </w:numPr>
        <w:spacing w:before="0" w:after="120" w:line="360" w:lineRule="auto"/>
        <w:rPr>
          <w:rFonts w:cs="David"/>
          <w:sz w:val="24"/>
          <w:szCs w:val="24"/>
          <w:u w:val="single"/>
        </w:rPr>
      </w:pPr>
      <w:r w:rsidRPr="008F48F0">
        <w:rPr>
          <w:rFonts w:cs="David" w:hint="cs"/>
          <w:b/>
          <w:bCs/>
          <w:sz w:val="24"/>
          <w:szCs w:val="24"/>
          <w:rtl/>
        </w:rPr>
        <w:t>משך התקופות</w:t>
      </w:r>
      <w:r w:rsidR="000B1020">
        <w:rPr>
          <w:rFonts w:cs="David" w:hint="cs"/>
          <w:sz w:val="24"/>
          <w:szCs w:val="24"/>
          <w:rtl/>
        </w:rPr>
        <w:t xml:space="preserve"> </w:t>
      </w:r>
      <w:r w:rsidR="000B1020" w:rsidRPr="000B1020">
        <w:rPr>
          <w:rFonts w:cs="David" w:hint="cs"/>
          <w:b/>
          <w:bCs/>
          <w:sz w:val="24"/>
          <w:szCs w:val="24"/>
          <w:rtl/>
        </w:rPr>
        <w:t>המירביות</w:t>
      </w:r>
      <w:r w:rsidRPr="008F48F0">
        <w:rPr>
          <w:rFonts w:cs="David" w:hint="cs"/>
          <w:sz w:val="24"/>
          <w:szCs w:val="24"/>
          <w:rtl/>
        </w:rPr>
        <w:t xml:space="preserve">: </w:t>
      </w:r>
    </w:p>
    <w:p w:rsidR="000B1020" w:rsidRDefault="008F48F0" w:rsidP="00261D8E">
      <w:pPr>
        <w:pStyle w:val="a7"/>
        <w:numPr>
          <w:ilvl w:val="0"/>
          <w:numId w:val="18"/>
        </w:numPr>
        <w:spacing w:before="0" w:after="120" w:line="360" w:lineRule="auto"/>
        <w:rPr>
          <w:rFonts w:cs="David"/>
          <w:sz w:val="24"/>
          <w:szCs w:val="24"/>
        </w:rPr>
      </w:pPr>
      <w:r w:rsidRPr="000B1020">
        <w:rPr>
          <w:rFonts w:cs="David" w:hint="cs"/>
          <w:sz w:val="24"/>
          <w:szCs w:val="24"/>
          <w:u w:val="single"/>
          <w:rtl/>
        </w:rPr>
        <w:t>בכל הנוגע לחקירה במשטרה</w:t>
      </w:r>
      <w:r w:rsidRPr="008F48F0">
        <w:rPr>
          <w:rFonts w:cs="David" w:hint="cs"/>
          <w:sz w:val="24"/>
          <w:szCs w:val="24"/>
          <w:rtl/>
        </w:rPr>
        <w:t xml:space="preserve"> </w:t>
      </w:r>
      <w:r>
        <w:rPr>
          <w:rFonts w:cs="David"/>
          <w:sz w:val="24"/>
          <w:szCs w:val="24"/>
          <w:rtl/>
        </w:rPr>
        <w:t>–</w:t>
      </w:r>
      <w:r w:rsidRPr="008F48F0">
        <w:rPr>
          <w:rFonts w:cs="David" w:hint="cs"/>
          <w:sz w:val="24"/>
          <w:szCs w:val="24"/>
          <w:rtl/>
        </w:rPr>
        <w:t xml:space="preserve"> </w:t>
      </w:r>
    </w:p>
    <w:p w:rsidR="00261D8E" w:rsidRPr="00261D8E" w:rsidRDefault="00261D8E" w:rsidP="008164E4">
      <w:pPr>
        <w:pStyle w:val="a7"/>
        <w:numPr>
          <w:ilvl w:val="0"/>
          <w:numId w:val="19"/>
        </w:numPr>
        <w:spacing w:before="0" w:after="120" w:line="360" w:lineRule="auto"/>
        <w:rPr>
          <w:rFonts w:cs="David"/>
          <w:sz w:val="24"/>
          <w:szCs w:val="24"/>
        </w:rPr>
      </w:pPr>
      <w:r w:rsidRPr="00261D8E">
        <w:rPr>
          <w:rFonts w:cs="David" w:hint="cs"/>
          <w:sz w:val="24"/>
          <w:szCs w:val="24"/>
          <w:rtl/>
        </w:rPr>
        <w:t>בהנחיות הפנימיות יש הגבלה על משך החקירה גם בעבירות פשע חמורות, ומגבלה מיוחדת על חקירה נגד קטין, אשר אינן קיימ</w:t>
      </w:r>
      <w:r>
        <w:rPr>
          <w:rFonts w:cs="David" w:hint="cs"/>
          <w:sz w:val="24"/>
          <w:szCs w:val="24"/>
          <w:rtl/>
        </w:rPr>
        <w:t>ות בהצעת החוק</w:t>
      </w:r>
      <w:r w:rsidRPr="00261D8E">
        <w:rPr>
          <w:rFonts w:cs="David" w:hint="cs"/>
          <w:sz w:val="24"/>
          <w:szCs w:val="24"/>
          <w:rtl/>
        </w:rPr>
        <w:t xml:space="preserve">. </w:t>
      </w:r>
    </w:p>
    <w:p w:rsidR="009F61D7" w:rsidRPr="00771A78" w:rsidRDefault="00261D8E" w:rsidP="00261D8E">
      <w:pPr>
        <w:pStyle w:val="a7"/>
        <w:numPr>
          <w:ilvl w:val="0"/>
          <w:numId w:val="19"/>
        </w:numPr>
        <w:spacing w:before="0" w:after="120" w:line="360" w:lineRule="auto"/>
        <w:rPr>
          <w:rFonts w:cs="David"/>
          <w:sz w:val="24"/>
          <w:szCs w:val="24"/>
        </w:rPr>
      </w:pPr>
      <w:r w:rsidRPr="00261D8E">
        <w:rPr>
          <w:rFonts w:cs="David" w:hint="cs"/>
          <w:sz w:val="24"/>
          <w:szCs w:val="24"/>
          <w:rtl/>
        </w:rPr>
        <w:t>בהצעת החוק יש מגבלה על התקופה ל</w:t>
      </w:r>
      <w:r w:rsidR="009F61D7" w:rsidRPr="00261D8E">
        <w:rPr>
          <w:rFonts w:cs="David"/>
          <w:sz w:val="24"/>
          <w:szCs w:val="24"/>
          <w:rtl/>
          <w:rPrChange w:id="18" w:author="גור בליי" w:date="2018-01-24T18:00:00Z">
            <w:rPr>
              <w:rFonts w:cs="David"/>
              <w:sz w:val="24"/>
              <w:szCs w:val="24"/>
              <w:highlight w:val="lightGray"/>
              <w:rtl/>
            </w:rPr>
          </w:rPrChange>
        </w:rPr>
        <w:t>השלמת חקירה</w:t>
      </w:r>
      <w:r w:rsidRPr="00261D8E">
        <w:rPr>
          <w:rFonts w:cs="David" w:hint="cs"/>
          <w:sz w:val="24"/>
          <w:szCs w:val="24"/>
          <w:rtl/>
        </w:rPr>
        <w:t xml:space="preserve">, שאינה קיימת בהנחיות הפנימיות. </w:t>
      </w:r>
    </w:p>
    <w:p w:rsidR="000B1020" w:rsidRDefault="000B1020" w:rsidP="008164E4">
      <w:pPr>
        <w:pStyle w:val="a7"/>
        <w:numPr>
          <w:ilvl w:val="0"/>
          <w:numId w:val="18"/>
        </w:numPr>
        <w:spacing w:before="0" w:after="120" w:line="360" w:lineRule="auto"/>
        <w:rPr>
          <w:rFonts w:cs="David"/>
          <w:sz w:val="24"/>
          <w:szCs w:val="24"/>
        </w:rPr>
      </w:pPr>
      <w:r w:rsidRPr="000B1020">
        <w:rPr>
          <w:rFonts w:cs="David" w:hint="cs"/>
          <w:sz w:val="24"/>
          <w:szCs w:val="24"/>
          <w:u w:val="single"/>
          <w:rtl/>
        </w:rPr>
        <w:t xml:space="preserve">בכל הנוגע להליכי התביעה </w:t>
      </w:r>
      <w:r w:rsidR="009F61D7">
        <w:rPr>
          <w:rFonts w:cs="David"/>
          <w:sz w:val="24"/>
          <w:szCs w:val="24"/>
          <w:rtl/>
        </w:rPr>
        <w:t>–</w:t>
      </w:r>
      <w:r w:rsidRPr="000B1020">
        <w:rPr>
          <w:rFonts w:cs="David" w:hint="cs"/>
          <w:sz w:val="24"/>
          <w:szCs w:val="24"/>
          <w:rtl/>
        </w:rPr>
        <w:t xml:space="preserve"> </w:t>
      </w:r>
    </w:p>
    <w:p w:rsidR="009F61D7" w:rsidRDefault="009F61D7" w:rsidP="00E72B15">
      <w:pPr>
        <w:pStyle w:val="a7"/>
        <w:numPr>
          <w:ilvl w:val="0"/>
          <w:numId w:val="20"/>
        </w:numPr>
        <w:spacing w:before="0" w:after="120" w:line="360" w:lineRule="auto"/>
        <w:rPr>
          <w:rFonts w:cs="David"/>
          <w:sz w:val="24"/>
          <w:szCs w:val="24"/>
        </w:rPr>
      </w:pPr>
      <w:r>
        <w:rPr>
          <w:rFonts w:cs="David" w:hint="cs"/>
          <w:sz w:val="24"/>
          <w:szCs w:val="24"/>
          <w:rtl/>
        </w:rPr>
        <w:t xml:space="preserve">בהנחיות הפנימיות החלוקה היא לפי הגורם המטפל </w:t>
      </w:r>
      <w:r w:rsidR="00E72B15">
        <w:rPr>
          <w:rFonts w:cs="David"/>
          <w:sz w:val="24"/>
          <w:szCs w:val="24"/>
          <w:rtl/>
        </w:rPr>
        <w:t>–</w:t>
      </w:r>
      <w:r w:rsidR="00E72B15">
        <w:rPr>
          <w:rFonts w:cs="David" w:hint="cs"/>
          <w:sz w:val="24"/>
          <w:szCs w:val="24"/>
          <w:rtl/>
        </w:rPr>
        <w:t xml:space="preserve"> פרקליטות או תביעה משטרתית,</w:t>
      </w:r>
      <w:r>
        <w:rPr>
          <w:rFonts w:cs="David" w:hint="cs"/>
          <w:sz w:val="24"/>
          <w:szCs w:val="24"/>
          <w:rtl/>
        </w:rPr>
        <w:t xml:space="preserve"> ואילו בהצעת החוק החלוקה היא לפי סוג העבירה.</w:t>
      </w:r>
      <w:r w:rsidR="00E72B15">
        <w:rPr>
          <w:rFonts w:cs="David" w:hint="cs"/>
          <w:sz w:val="24"/>
          <w:szCs w:val="24"/>
          <w:rtl/>
        </w:rPr>
        <w:t xml:space="preserve"> </w:t>
      </w:r>
      <w:r w:rsidR="00E72B15">
        <w:rPr>
          <w:rFonts w:cs="David" w:hint="cs"/>
          <w:i/>
          <w:iCs/>
          <w:sz w:val="20"/>
          <w:szCs w:val="22"/>
          <w:highlight w:val="yellow"/>
          <w:u w:val="single"/>
          <w:rtl/>
        </w:rPr>
        <w:t>הערה</w:t>
      </w:r>
      <w:r w:rsidR="00E72B15" w:rsidRPr="00A048CF">
        <w:rPr>
          <w:rFonts w:cs="David" w:hint="cs"/>
          <w:i/>
          <w:iCs/>
          <w:sz w:val="20"/>
          <w:szCs w:val="22"/>
          <w:highlight w:val="yellow"/>
          <w:u w:val="single"/>
          <w:rtl/>
        </w:rPr>
        <w:t xml:space="preserve"> לדיון</w:t>
      </w:r>
      <w:r w:rsidR="00E72B15" w:rsidRPr="00A048CF">
        <w:rPr>
          <w:rFonts w:cs="David" w:hint="cs"/>
          <w:i/>
          <w:iCs/>
          <w:sz w:val="20"/>
          <w:szCs w:val="22"/>
          <w:rtl/>
        </w:rPr>
        <w:t xml:space="preserve">: </w:t>
      </w:r>
      <w:r w:rsidR="00E72B15">
        <w:rPr>
          <w:rFonts w:cs="David" w:hint="cs"/>
          <w:i/>
          <w:iCs/>
          <w:sz w:val="20"/>
          <w:szCs w:val="22"/>
          <w:rtl/>
        </w:rPr>
        <w:t xml:space="preserve">החלוקה לפי הגורם המטפל מאפשרת לדייק יותר מבחינת מורכבות העבירה וחומרתה בנסיבות המקרה המסוים. </w:t>
      </w:r>
    </w:p>
    <w:p w:rsidR="009F61D7" w:rsidRDefault="009F61D7" w:rsidP="00E72B15">
      <w:pPr>
        <w:pStyle w:val="a7"/>
        <w:numPr>
          <w:ilvl w:val="0"/>
          <w:numId w:val="20"/>
        </w:numPr>
        <w:spacing w:before="0" w:after="120" w:line="360" w:lineRule="auto"/>
        <w:rPr>
          <w:rFonts w:cs="David"/>
          <w:sz w:val="24"/>
          <w:szCs w:val="24"/>
        </w:rPr>
      </w:pPr>
      <w:r>
        <w:rPr>
          <w:rFonts w:cs="David" w:hint="cs"/>
          <w:sz w:val="24"/>
          <w:szCs w:val="24"/>
          <w:rtl/>
        </w:rPr>
        <w:t xml:space="preserve">ככלל, התקופות </w:t>
      </w:r>
      <w:r w:rsidR="00E72B15">
        <w:rPr>
          <w:rFonts w:cs="David" w:hint="cs"/>
          <w:sz w:val="24"/>
          <w:szCs w:val="24"/>
          <w:rtl/>
        </w:rPr>
        <w:t xml:space="preserve">הבסיסיות </w:t>
      </w:r>
      <w:r>
        <w:rPr>
          <w:rFonts w:cs="David" w:hint="cs"/>
          <w:sz w:val="24"/>
          <w:szCs w:val="24"/>
          <w:rtl/>
        </w:rPr>
        <w:t>לפי הצעת החוק יהיו בד"כ קצרות</w:t>
      </w:r>
      <w:r w:rsidR="00E72B15">
        <w:rPr>
          <w:rFonts w:cs="David" w:hint="cs"/>
          <w:sz w:val="24"/>
          <w:szCs w:val="24"/>
          <w:rtl/>
        </w:rPr>
        <w:t xml:space="preserve"> במעט</w:t>
      </w:r>
      <w:r>
        <w:rPr>
          <w:rFonts w:cs="David" w:hint="cs"/>
          <w:sz w:val="24"/>
          <w:szCs w:val="24"/>
          <w:rtl/>
        </w:rPr>
        <w:t xml:space="preserve">. </w:t>
      </w:r>
    </w:p>
    <w:p w:rsidR="009F61D7" w:rsidRPr="00E72B15" w:rsidRDefault="009F61D7" w:rsidP="009F61D7">
      <w:pPr>
        <w:pStyle w:val="a7"/>
        <w:spacing w:before="0" w:after="120" w:line="360" w:lineRule="auto"/>
        <w:ind w:left="1873" w:firstLine="0"/>
        <w:rPr>
          <w:rFonts w:cs="David"/>
          <w:sz w:val="24"/>
          <w:szCs w:val="24"/>
        </w:rPr>
      </w:pPr>
    </w:p>
    <w:p w:rsidR="00DC37B2" w:rsidRPr="00DC37B2" w:rsidRDefault="00DC37B2" w:rsidP="008164E4">
      <w:pPr>
        <w:pStyle w:val="a7"/>
        <w:numPr>
          <w:ilvl w:val="0"/>
          <w:numId w:val="16"/>
        </w:numPr>
        <w:spacing w:before="0" w:after="120" w:line="360" w:lineRule="auto"/>
        <w:rPr>
          <w:rFonts w:cs="David"/>
          <w:sz w:val="24"/>
          <w:szCs w:val="24"/>
        </w:rPr>
      </w:pPr>
      <w:r w:rsidRPr="000B1020">
        <w:rPr>
          <w:rFonts w:cs="David" w:hint="cs"/>
          <w:b/>
          <w:bCs/>
          <w:sz w:val="24"/>
          <w:szCs w:val="24"/>
          <w:rtl/>
        </w:rPr>
        <w:t xml:space="preserve">הארכת </w:t>
      </w:r>
      <w:r w:rsidR="000B1020" w:rsidRPr="000B1020">
        <w:rPr>
          <w:rFonts w:cs="David" w:hint="cs"/>
          <w:b/>
          <w:bCs/>
          <w:sz w:val="24"/>
          <w:szCs w:val="24"/>
          <w:rtl/>
        </w:rPr>
        <w:t>התקופה</w:t>
      </w:r>
      <w:r>
        <w:rPr>
          <w:rFonts w:cs="David" w:hint="cs"/>
          <w:sz w:val="24"/>
          <w:szCs w:val="24"/>
          <w:rtl/>
        </w:rPr>
        <w:t xml:space="preserve">: </w:t>
      </w:r>
    </w:p>
    <w:p w:rsidR="009F61D7" w:rsidRDefault="000B1020" w:rsidP="00E72B15">
      <w:pPr>
        <w:pStyle w:val="a7"/>
        <w:numPr>
          <w:ilvl w:val="0"/>
          <w:numId w:val="6"/>
        </w:numPr>
        <w:spacing w:before="0" w:after="120" w:line="360" w:lineRule="auto"/>
        <w:ind w:left="1502" w:hanging="349"/>
        <w:rPr>
          <w:rFonts w:cs="David"/>
          <w:sz w:val="24"/>
          <w:szCs w:val="24"/>
        </w:rPr>
      </w:pPr>
      <w:r>
        <w:rPr>
          <w:rFonts w:cs="David" w:hint="cs"/>
          <w:sz w:val="24"/>
          <w:szCs w:val="24"/>
          <w:u w:val="single"/>
          <w:rtl/>
        </w:rPr>
        <w:t xml:space="preserve">בכל הנוגע לחקירה במשטרה </w:t>
      </w:r>
      <w:r w:rsidR="00DC37B2">
        <w:rPr>
          <w:rFonts w:cs="David"/>
          <w:sz w:val="24"/>
          <w:szCs w:val="24"/>
          <w:rtl/>
        </w:rPr>
        <w:t>–</w:t>
      </w:r>
      <w:r>
        <w:rPr>
          <w:rFonts w:cs="David" w:hint="cs"/>
          <w:sz w:val="24"/>
          <w:szCs w:val="24"/>
          <w:rtl/>
        </w:rPr>
        <w:t xml:space="preserve"> בהצעת החוק הסמכות נתונה </w:t>
      </w:r>
      <w:r w:rsidR="006F20CF">
        <w:rPr>
          <w:rFonts w:cs="David" w:hint="cs"/>
          <w:sz w:val="24"/>
          <w:szCs w:val="24"/>
          <w:rtl/>
        </w:rPr>
        <w:t>ליועץ המשפטי לממשלה</w:t>
      </w:r>
      <w:r w:rsidR="00DC37B2">
        <w:rPr>
          <w:rFonts w:cs="David" w:hint="cs"/>
          <w:sz w:val="24"/>
          <w:szCs w:val="24"/>
          <w:rtl/>
        </w:rPr>
        <w:t xml:space="preserve"> או למי שהוא הסמיך לכך</w:t>
      </w:r>
      <w:r>
        <w:rPr>
          <w:rFonts w:cs="David" w:hint="cs"/>
          <w:sz w:val="24"/>
          <w:szCs w:val="24"/>
          <w:rtl/>
        </w:rPr>
        <w:t xml:space="preserve"> לתקופה של עד שישה חודשים בכל הארכה ללא מגבלה סופית</w:t>
      </w:r>
      <w:r w:rsidR="00DC37B2">
        <w:rPr>
          <w:rFonts w:cs="David" w:hint="cs"/>
          <w:sz w:val="24"/>
          <w:szCs w:val="24"/>
          <w:rtl/>
        </w:rPr>
        <w:t xml:space="preserve">; בהנחיות הפנימיות </w:t>
      </w:r>
      <w:r w:rsidR="00DC37B2">
        <w:rPr>
          <w:rFonts w:cs="David"/>
          <w:sz w:val="24"/>
          <w:szCs w:val="24"/>
          <w:rtl/>
        </w:rPr>
        <w:t>–</w:t>
      </w:r>
      <w:r w:rsidR="00DC37B2">
        <w:rPr>
          <w:rFonts w:cs="David" w:hint="cs"/>
          <w:sz w:val="24"/>
          <w:szCs w:val="24"/>
          <w:rtl/>
        </w:rPr>
        <w:t xml:space="preserve"> </w:t>
      </w:r>
      <w:r w:rsidR="009F61D7">
        <w:rPr>
          <w:rFonts w:cs="David" w:hint="cs"/>
          <w:sz w:val="24"/>
          <w:szCs w:val="24"/>
          <w:rtl/>
        </w:rPr>
        <w:t>יש מנגנון דו שלבי</w:t>
      </w:r>
      <w:r w:rsidR="00DC37B2">
        <w:rPr>
          <w:rFonts w:cs="David" w:hint="cs"/>
          <w:sz w:val="24"/>
          <w:szCs w:val="24"/>
          <w:rtl/>
        </w:rPr>
        <w:t xml:space="preserve"> </w:t>
      </w:r>
      <w:r w:rsidR="00E72B15">
        <w:rPr>
          <w:rFonts w:cs="David" w:hint="cs"/>
          <w:sz w:val="24"/>
          <w:szCs w:val="24"/>
          <w:rtl/>
        </w:rPr>
        <w:t xml:space="preserve">שלפיו הסמכות נתונה לגורמים בכירים במשטרה ומאפשר </w:t>
      </w:r>
      <w:r w:rsidR="009F61D7">
        <w:rPr>
          <w:rFonts w:cs="David" w:hint="cs"/>
          <w:sz w:val="24"/>
          <w:szCs w:val="24"/>
          <w:rtl/>
        </w:rPr>
        <w:t>קציבת מועד</w:t>
      </w:r>
      <w:r w:rsidR="00E72B15">
        <w:rPr>
          <w:rFonts w:cs="David" w:hint="cs"/>
          <w:sz w:val="24"/>
          <w:szCs w:val="24"/>
          <w:rtl/>
        </w:rPr>
        <w:t xml:space="preserve"> סופי</w:t>
      </w:r>
      <w:r w:rsidR="00DC37B2">
        <w:rPr>
          <w:rFonts w:cs="David" w:hint="cs"/>
          <w:sz w:val="24"/>
          <w:szCs w:val="24"/>
          <w:rtl/>
        </w:rPr>
        <w:t>.</w:t>
      </w:r>
    </w:p>
    <w:p w:rsidR="00DC37B2" w:rsidRDefault="009F61D7" w:rsidP="008164E4">
      <w:pPr>
        <w:pStyle w:val="a7"/>
        <w:numPr>
          <w:ilvl w:val="0"/>
          <w:numId w:val="6"/>
        </w:numPr>
        <w:spacing w:before="0" w:after="120" w:line="360" w:lineRule="auto"/>
        <w:ind w:left="1502" w:hanging="349"/>
        <w:rPr>
          <w:rFonts w:cs="David"/>
          <w:sz w:val="24"/>
          <w:szCs w:val="24"/>
        </w:rPr>
      </w:pPr>
      <w:r>
        <w:rPr>
          <w:rFonts w:cs="David" w:hint="cs"/>
          <w:sz w:val="24"/>
          <w:szCs w:val="24"/>
          <w:u w:val="single"/>
          <w:rtl/>
        </w:rPr>
        <w:t xml:space="preserve">בכל הנוגע להליכי התביעה </w:t>
      </w:r>
      <w:r w:rsidRPr="009F61D7">
        <w:rPr>
          <w:rFonts w:cs="David" w:hint="cs"/>
          <w:sz w:val="24"/>
          <w:szCs w:val="24"/>
          <w:rtl/>
        </w:rPr>
        <w:t>-</w:t>
      </w:r>
      <w:r>
        <w:rPr>
          <w:rFonts w:cs="David" w:hint="cs"/>
          <w:sz w:val="24"/>
          <w:szCs w:val="24"/>
          <w:rtl/>
        </w:rPr>
        <w:t xml:space="preserve"> </w:t>
      </w:r>
      <w:r w:rsidR="00DC37B2">
        <w:rPr>
          <w:rFonts w:cs="David" w:hint="cs"/>
          <w:sz w:val="24"/>
          <w:szCs w:val="24"/>
          <w:rtl/>
        </w:rPr>
        <w:t xml:space="preserve">  </w:t>
      </w:r>
      <w:r>
        <w:rPr>
          <w:rFonts w:cs="David" w:hint="cs"/>
          <w:sz w:val="24"/>
          <w:szCs w:val="24"/>
          <w:rtl/>
        </w:rPr>
        <w:t>בהצעת החוק אין אפשרות להאריך את מש</w:t>
      </w:r>
      <w:r w:rsidR="006F20CF">
        <w:rPr>
          <w:rFonts w:cs="David" w:hint="cs"/>
          <w:sz w:val="24"/>
          <w:szCs w:val="24"/>
          <w:rtl/>
        </w:rPr>
        <w:t>ך</w:t>
      </w:r>
      <w:r>
        <w:rPr>
          <w:rFonts w:cs="David" w:hint="cs"/>
          <w:sz w:val="24"/>
          <w:szCs w:val="24"/>
          <w:rtl/>
        </w:rPr>
        <w:t xml:space="preserve"> טיפול התביעה בהליכים. בהנחיות הפנימיות יש מנגנון דו שלבי </w:t>
      </w:r>
      <w:r w:rsidR="009979DB">
        <w:rPr>
          <w:rFonts w:cs="David" w:hint="cs"/>
          <w:sz w:val="24"/>
          <w:szCs w:val="24"/>
          <w:rtl/>
        </w:rPr>
        <w:t xml:space="preserve">בסמכות </w:t>
      </w:r>
      <w:r>
        <w:rPr>
          <w:rFonts w:cs="David" w:hint="cs"/>
          <w:sz w:val="24"/>
          <w:szCs w:val="24"/>
          <w:rtl/>
        </w:rPr>
        <w:t xml:space="preserve">פרקליט מחוז </w:t>
      </w:r>
      <w:r w:rsidR="009979DB">
        <w:rPr>
          <w:rFonts w:cs="David" w:hint="cs"/>
          <w:sz w:val="24"/>
          <w:szCs w:val="24"/>
          <w:rtl/>
        </w:rPr>
        <w:t xml:space="preserve">ולאחר מכן היועץ המשפטי לממשלה </w:t>
      </w:r>
      <w:r w:rsidR="009979DB">
        <w:rPr>
          <w:rFonts w:cs="David"/>
          <w:sz w:val="24"/>
          <w:szCs w:val="24"/>
          <w:rtl/>
        </w:rPr>
        <w:t>–</w:t>
      </w:r>
      <w:r w:rsidR="009979DB">
        <w:rPr>
          <w:rFonts w:cs="David" w:hint="cs"/>
          <w:sz w:val="24"/>
          <w:szCs w:val="24"/>
          <w:rtl/>
        </w:rPr>
        <w:t xml:space="preserve"> המסמיך להאריך </w:t>
      </w:r>
      <w:r>
        <w:rPr>
          <w:rFonts w:cs="David" w:hint="cs"/>
          <w:sz w:val="24"/>
          <w:szCs w:val="24"/>
          <w:rtl/>
        </w:rPr>
        <w:t>לתקופה של עד שישה חודשים בכל הארכה</w:t>
      </w:r>
      <w:r w:rsidR="009979DB">
        <w:rPr>
          <w:rFonts w:cs="David" w:hint="cs"/>
          <w:sz w:val="24"/>
          <w:szCs w:val="24"/>
          <w:rtl/>
        </w:rPr>
        <w:t>,</w:t>
      </w:r>
      <w:r>
        <w:rPr>
          <w:rFonts w:cs="David" w:hint="cs"/>
          <w:sz w:val="24"/>
          <w:szCs w:val="24"/>
          <w:rtl/>
        </w:rPr>
        <w:t xml:space="preserve"> ללא מגבלה סופית; </w:t>
      </w:r>
      <w:r w:rsidR="00531C81">
        <w:rPr>
          <w:rFonts w:cs="David" w:hint="cs"/>
          <w:sz w:val="24"/>
          <w:szCs w:val="24"/>
          <w:rtl/>
        </w:rPr>
        <w:t xml:space="preserve">כן מפורטים </w:t>
      </w:r>
      <w:r w:rsidR="009979DB">
        <w:rPr>
          <w:rFonts w:cs="David" w:hint="cs"/>
          <w:sz w:val="24"/>
          <w:szCs w:val="24"/>
          <w:rtl/>
        </w:rPr>
        <w:t xml:space="preserve">בהנחיה </w:t>
      </w:r>
      <w:r w:rsidR="00531C81">
        <w:rPr>
          <w:rFonts w:cs="David" w:hint="cs"/>
          <w:sz w:val="24"/>
          <w:szCs w:val="24"/>
          <w:rtl/>
        </w:rPr>
        <w:t xml:space="preserve">מצבים שבהם רשויות התביעה מנועות מלפעול ולכן </w:t>
      </w:r>
      <w:r w:rsidR="009979DB">
        <w:rPr>
          <w:rFonts w:cs="David" w:hint="cs"/>
          <w:sz w:val="24"/>
          <w:szCs w:val="24"/>
          <w:rtl/>
        </w:rPr>
        <w:t xml:space="preserve">יביאו ככלל </w:t>
      </w:r>
      <w:r w:rsidR="00531C81">
        <w:rPr>
          <w:rFonts w:cs="David" w:hint="cs"/>
          <w:sz w:val="24"/>
          <w:szCs w:val="24"/>
          <w:rtl/>
        </w:rPr>
        <w:t>להארכת התקופה.</w:t>
      </w:r>
    </w:p>
    <w:p w:rsidR="00531C81" w:rsidRPr="009979DB" w:rsidRDefault="00531C81" w:rsidP="00531C81">
      <w:pPr>
        <w:pStyle w:val="a7"/>
        <w:spacing w:before="0" w:after="120" w:line="360" w:lineRule="auto"/>
        <w:ind w:left="1502" w:firstLine="0"/>
        <w:rPr>
          <w:rFonts w:cs="David"/>
          <w:sz w:val="24"/>
          <w:szCs w:val="24"/>
        </w:rPr>
      </w:pPr>
    </w:p>
    <w:p w:rsidR="00531C81" w:rsidRDefault="008447D0" w:rsidP="008164E4">
      <w:pPr>
        <w:pStyle w:val="a7"/>
        <w:numPr>
          <w:ilvl w:val="0"/>
          <w:numId w:val="16"/>
        </w:numPr>
        <w:spacing w:before="0" w:after="120" w:line="360" w:lineRule="auto"/>
        <w:rPr>
          <w:rFonts w:cs="David"/>
          <w:sz w:val="22"/>
          <w:szCs w:val="24"/>
        </w:rPr>
      </w:pPr>
      <w:r w:rsidRPr="00531C81">
        <w:rPr>
          <w:rFonts w:cs="David" w:hint="cs"/>
          <w:b/>
          <w:bCs/>
          <w:sz w:val="22"/>
          <w:szCs w:val="24"/>
          <w:rtl/>
        </w:rPr>
        <w:t>סנקציה על הפרת ההוראות</w:t>
      </w:r>
      <w:r w:rsidRPr="00531C81">
        <w:rPr>
          <w:rFonts w:cs="David" w:hint="cs"/>
          <w:sz w:val="22"/>
          <w:szCs w:val="24"/>
          <w:rtl/>
        </w:rPr>
        <w:t xml:space="preserve"> </w:t>
      </w:r>
      <w:r w:rsidRPr="00531C81">
        <w:rPr>
          <w:rFonts w:cs="David"/>
          <w:sz w:val="22"/>
          <w:szCs w:val="24"/>
          <w:rtl/>
        </w:rPr>
        <w:t>–</w:t>
      </w:r>
      <w:r w:rsidRPr="00531C81">
        <w:rPr>
          <w:rFonts w:cs="David" w:hint="cs"/>
          <w:sz w:val="22"/>
          <w:szCs w:val="24"/>
          <w:rtl/>
        </w:rPr>
        <w:t xml:space="preserve"> </w:t>
      </w:r>
    </w:p>
    <w:p w:rsidR="00531C81" w:rsidRDefault="00531C81" w:rsidP="008164E4">
      <w:pPr>
        <w:pStyle w:val="a7"/>
        <w:numPr>
          <w:ilvl w:val="0"/>
          <w:numId w:val="21"/>
        </w:numPr>
        <w:spacing w:before="0" w:after="120" w:line="360" w:lineRule="auto"/>
        <w:rPr>
          <w:rFonts w:cs="David"/>
          <w:sz w:val="22"/>
          <w:szCs w:val="24"/>
        </w:rPr>
      </w:pPr>
      <w:r>
        <w:rPr>
          <w:rFonts w:cs="David" w:hint="cs"/>
          <w:sz w:val="22"/>
          <w:szCs w:val="24"/>
          <w:rtl/>
        </w:rPr>
        <w:t xml:space="preserve">בהנחיות הפנימיות - אין סנקציה על הפרת ההוראות; </w:t>
      </w:r>
    </w:p>
    <w:p w:rsidR="008447D0" w:rsidRDefault="00531C81" w:rsidP="008164E4">
      <w:pPr>
        <w:pStyle w:val="a7"/>
        <w:numPr>
          <w:ilvl w:val="0"/>
          <w:numId w:val="21"/>
        </w:numPr>
        <w:spacing w:before="0" w:after="120" w:line="360" w:lineRule="auto"/>
        <w:rPr>
          <w:rFonts w:cs="David"/>
          <w:sz w:val="22"/>
          <w:szCs w:val="24"/>
        </w:rPr>
      </w:pPr>
      <w:r>
        <w:rPr>
          <w:rFonts w:cs="David" w:hint="cs"/>
          <w:sz w:val="22"/>
          <w:szCs w:val="24"/>
          <w:rtl/>
        </w:rPr>
        <w:t xml:space="preserve">בהצעות החוק </w:t>
      </w:r>
      <w:r w:rsidR="006F20CF">
        <w:rPr>
          <w:rFonts w:cs="David"/>
          <w:sz w:val="22"/>
          <w:szCs w:val="24"/>
          <w:rtl/>
        </w:rPr>
        <w:t>–</w:t>
      </w:r>
      <w:r w:rsidR="009979DB">
        <w:rPr>
          <w:rFonts w:cs="David" w:hint="cs"/>
          <w:sz w:val="22"/>
          <w:szCs w:val="24"/>
          <w:rtl/>
        </w:rPr>
        <w:t xml:space="preserve">בית המשפט אינו רשאי </w:t>
      </w:r>
      <w:r>
        <w:rPr>
          <w:rFonts w:cs="David" w:hint="cs"/>
          <w:sz w:val="22"/>
          <w:szCs w:val="24"/>
          <w:rtl/>
        </w:rPr>
        <w:t>לקבל ראיות שהושגו בחקירה שנערכה בניגוד להוראות, אלא מטעמים מיוחדים שיירשמו</w:t>
      </w:r>
      <w:r w:rsidR="009979DB">
        <w:rPr>
          <w:rFonts w:cs="David" w:hint="cs"/>
          <w:sz w:val="22"/>
          <w:szCs w:val="24"/>
          <w:rtl/>
        </w:rPr>
        <w:t xml:space="preserve">, ואינו רשאי </w:t>
      </w:r>
      <w:r>
        <w:rPr>
          <w:rFonts w:cs="David" w:hint="cs"/>
          <w:sz w:val="22"/>
          <w:szCs w:val="24"/>
          <w:rtl/>
        </w:rPr>
        <w:t>לדון בכתב אישום שהוגש בחריגה מהתקופות (</w:t>
      </w:r>
      <w:r w:rsidR="009979DB">
        <w:rPr>
          <w:rFonts w:cs="David" w:hint="cs"/>
          <w:sz w:val="22"/>
          <w:szCs w:val="24"/>
          <w:rtl/>
        </w:rPr>
        <w:t>ללא אפשרות לחריגים</w:t>
      </w:r>
      <w:r>
        <w:rPr>
          <w:rFonts w:cs="David" w:hint="cs"/>
          <w:sz w:val="22"/>
          <w:szCs w:val="24"/>
          <w:rtl/>
        </w:rPr>
        <w:t xml:space="preserve">). </w:t>
      </w:r>
    </w:p>
    <w:p w:rsidR="00531C81" w:rsidRPr="009979DB" w:rsidRDefault="00531C81" w:rsidP="00531C81">
      <w:pPr>
        <w:pStyle w:val="a7"/>
        <w:spacing w:before="0" w:after="120" w:line="360" w:lineRule="auto"/>
        <w:ind w:left="1513" w:firstLine="0"/>
        <w:rPr>
          <w:rFonts w:cs="David"/>
          <w:sz w:val="22"/>
          <w:szCs w:val="24"/>
        </w:rPr>
      </w:pPr>
    </w:p>
    <w:p w:rsidR="00531C81" w:rsidRDefault="00531C81" w:rsidP="008164E4">
      <w:pPr>
        <w:pStyle w:val="a7"/>
        <w:numPr>
          <w:ilvl w:val="0"/>
          <w:numId w:val="16"/>
        </w:numPr>
        <w:spacing w:before="0" w:after="120" w:line="360" w:lineRule="auto"/>
        <w:rPr>
          <w:rFonts w:cs="David"/>
          <w:sz w:val="22"/>
          <w:szCs w:val="24"/>
        </w:rPr>
      </w:pPr>
      <w:r>
        <w:rPr>
          <w:rFonts w:cs="David" w:hint="cs"/>
          <w:b/>
          <w:bCs/>
          <w:sz w:val="22"/>
          <w:szCs w:val="24"/>
          <w:rtl/>
        </w:rPr>
        <w:t xml:space="preserve">דיווח </w:t>
      </w:r>
      <w:r w:rsidRPr="00531C81">
        <w:rPr>
          <w:rFonts w:cs="David"/>
          <w:sz w:val="22"/>
          <w:szCs w:val="24"/>
          <w:rtl/>
        </w:rPr>
        <w:t>–</w:t>
      </w:r>
      <w:r w:rsidRPr="00531C81">
        <w:rPr>
          <w:rFonts w:cs="David" w:hint="cs"/>
          <w:sz w:val="22"/>
          <w:szCs w:val="24"/>
          <w:rtl/>
        </w:rPr>
        <w:t xml:space="preserve"> </w:t>
      </w:r>
    </w:p>
    <w:p w:rsidR="00C25249" w:rsidRDefault="00531C81" w:rsidP="00C25249">
      <w:pPr>
        <w:pStyle w:val="a7"/>
        <w:numPr>
          <w:ilvl w:val="0"/>
          <w:numId w:val="31"/>
        </w:numPr>
        <w:spacing w:before="0" w:after="120" w:line="360" w:lineRule="auto"/>
        <w:ind w:left="1503" w:hanging="364"/>
        <w:rPr>
          <w:rFonts w:cs="David"/>
          <w:sz w:val="22"/>
          <w:szCs w:val="24"/>
        </w:rPr>
      </w:pPr>
      <w:r>
        <w:rPr>
          <w:rFonts w:cs="David" w:hint="cs"/>
          <w:sz w:val="22"/>
          <w:szCs w:val="24"/>
          <w:rtl/>
        </w:rPr>
        <w:t xml:space="preserve">בהנחיות הפנימיות </w:t>
      </w:r>
      <w:r>
        <w:rPr>
          <w:rFonts w:cs="David"/>
          <w:sz w:val="22"/>
          <w:szCs w:val="24"/>
          <w:rtl/>
        </w:rPr>
        <w:t>–</w:t>
      </w:r>
      <w:r>
        <w:rPr>
          <w:rFonts w:cs="David" w:hint="cs"/>
          <w:sz w:val="22"/>
          <w:szCs w:val="24"/>
          <w:rtl/>
        </w:rPr>
        <w:t xml:space="preserve"> על פרקליט מחוז וראש יחידת תביעות לדווח ליועץ המשפטי לממשלה על אישורים שניתנו להארכת התקופה, אמצעים שננקט</w:t>
      </w:r>
      <w:r w:rsidR="007363E1">
        <w:rPr>
          <w:rFonts w:cs="David" w:hint="cs"/>
          <w:sz w:val="22"/>
          <w:szCs w:val="24"/>
          <w:rtl/>
        </w:rPr>
        <w:t>ו</w:t>
      </w:r>
      <w:r>
        <w:rPr>
          <w:rFonts w:cs="David" w:hint="cs"/>
          <w:sz w:val="22"/>
          <w:szCs w:val="24"/>
          <w:rtl/>
        </w:rPr>
        <w:t xml:space="preserve"> לקבלת החלטה בהקדם ועוד. </w:t>
      </w:r>
    </w:p>
    <w:p w:rsidR="00531C81" w:rsidRPr="00C25249" w:rsidRDefault="00531C81" w:rsidP="00C25249">
      <w:pPr>
        <w:pStyle w:val="a7"/>
        <w:numPr>
          <w:ilvl w:val="0"/>
          <w:numId w:val="31"/>
        </w:numPr>
        <w:spacing w:before="0" w:after="120" w:line="360" w:lineRule="auto"/>
        <w:ind w:left="1503" w:hanging="364"/>
        <w:rPr>
          <w:rFonts w:cs="David"/>
          <w:sz w:val="22"/>
          <w:szCs w:val="24"/>
        </w:rPr>
      </w:pPr>
      <w:r w:rsidRPr="00C25249">
        <w:rPr>
          <w:rFonts w:cs="David" w:hint="cs"/>
          <w:sz w:val="22"/>
          <w:szCs w:val="24"/>
          <w:rtl/>
        </w:rPr>
        <w:t xml:space="preserve">בהצעות החוק </w:t>
      </w:r>
      <w:r w:rsidRPr="00C25249">
        <w:rPr>
          <w:rFonts w:cs="David"/>
          <w:sz w:val="22"/>
          <w:szCs w:val="24"/>
          <w:rtl/>
        </w:rPr>
        <w:t>–</w:t>
      </w:r>
      <w:r w:rsidRPr="00C25249">
        <w:rPr>
          <w:rFonts w:cs="David" w:hint="cs"/>
          <w:sz w:val="22"/>
          <w:szCs w:val="24"/>
          <w:rtl/>
        </w:rPr>
        <w:t xml:space="preserve"> לא נקבעו חובות דיווח. </w:t>
      </w:r>
      <w:r w:rsidR="006F20CF" w:rsidRPr="00C25249">
        <w:rPr>
          <w:rFonts w:cs="David" w:hint="cs"/>
          <w:i/>
          <w:iCs/>
          <w:sz w:val="20"/>
          <w:szCs w:val="22"/>
          <w:u w:val="single"/>
          <w:rtl/>
        </w:rPr>
        <w:t>שאלה לדיון</w:t>
      </w:r>
      <w:r w:rsidR="006F20CF" w:rsidRPr="00C25249">
        <w:rPr>
          <w:rFonts w:cs="David" w:hint="cs"/>
          <w:i/>
          <w:iCs/>
          <w:sz w:val="20"/>
          <w:szCs w:val="22"/>
          <w:rtl/>
        </w:rPr>
        <w:t>: האם לא רצוי לקבוע חובות דיווח ומעקב אחר מתן אישורים לחריגה מהתקופות והטעמים לכך</w:t>
      </w:r>
      <w:r w:rsidR="00AB62E1" w:rsidRPr="00C25249">
        <w:rPr>
          <w:rFonts w:cs="David" w:hint="cs"/>
          <w:i/>
          <w:iCs/>
          <w:sz w:val="20"/>
          <w:szCs w:val="22"/>
          <w:rtl/>
        </w:rPr>
        <w:t>?</w:t>
      </w:r>
    </w:p>
    <w:p w:rsidR="007714EE" w:rsidRPr="00B548C6" w:rsidRDefault="00B548C6" w:rsidP="005A322F">
      <w:pPr>
        <w:spacing w:after="120" w:line="360" w:lineRule="auto"/>
        <w:ind w:firstLine="0"/>
        <w:rPr>
          <w:rFonts w:cs="David"/>
          <w:color w:val="auto"/>
          <w:sz w:val="18"/>
          <w:szCs w:val="18"/>
          <w:rtl/>
        </w:rPr>
      </w:pPr>
      <w:r w:rsidRPr="00B548C6">
        <w:rPr>
          <w:rFonts w:cs="David" w:hint="cs"/>
          <w:color w:val="auto"/>
          <w:sz w:val="18"/>
          <w:szCs w:val="18"/>
          <w:rtl/>
        </w:rPr>
        <w:t xml:space="preserve">*להשוואה מפורטת בין ההסדרים המוצעים בה"ח לבין ההנחיות הפנימיות </w:t>
      </w:r>
      <w:r w:rsidRPr="00B548C6">
        <w:rPr>
          <w:rFonts w:cs="David"/>
          <w:color w:val="auto"/>
          <w:sz w:val="18"/>
          <w:szCs w:val="18"/>
          <w:rtl/>
        </w:rPr>
        <w:t>–</w:t>
      </w:r>
      <w:r w:rsidRPr="00B548C6">
        <w:rPr>
          <w:rFonts w:cs="David" w:hint="cs"/>
          <w:color w:val="auto"/>
          <w:sz w:val="18"/>
          <w:szCs w:val="18"/>
          <w:rtl/>
        </w:rPr>
        <w:t xml:space="preserve"> ראו הטבלה המצורפת כנספח ב' </w:t>
      </w:r>
    </w:p>
    <w:p w:rsidR="0019268D" w:rsidRPr="0019268D" w:rsidRDefault="0019268D" w:rsidP="005A322F">
      <w:pPr>
        <w:spacing w:after="120" w:line="360" w:lineRule="auto"/>
        <w:ind w:firstLine="0"/>
        <w:rPr>
          <w:rFonts w:cs="David"/>
          <w:b/>
          <w:bCs/>
          <w:color w:val="auto"/>
          <w:sz w:val="24"/>
          <w:szCs w:val="24"/>
          <w:u w:val="single"/>
          <w:rtl/>
        </w:rPr>
      </w:pPr>
      <w:r w:rsidRPr="0019268D">
        <w:rPr>
          <w:rFonts w:cs="David" w:hint="cs"/>
          <w:b/>
          <w:bCs/>
          <w:color w:val="auto"/>
          <w:sz w:val="24"/>
          <w:szCs w:val="24"/>
          <w:u w:val="single"/>
          <w:rtl/>
        </w:rPr>
        <w:t xml:space="preserve">עמדת הממשלה </w:t>
      </w:r>
      <w:r>
        <w:rPr>
          <w:rFonts w:cs="David" w:hint="cs"/>
          <w:b/>
          <w:bCs/>
          <w:color w:val="auto"/>
          <w:sz w:val="24"/>
          <w:szCs w:val="24"/>
          <w:u w:val="single"/>
          <w:rtl/>
        </w:rPr>
        <w:t xml:space="preserve">ביחס להצעות החוק </w:t>
      </w:r>
    </w:p>
    <w:p w:rsidR="0001009B" w:rsidRPr="00C25249" w:rsidRDefault="009C2F9A" w:rsidP="00C25249">
      <w:pPr>
        <w:pStyle w:val="a7"/>
        <w:numPr>
          <w:ilvl w:val="0"/>
          <w:numId w:val="22"/>
        </w:numPr>
        <w:spacing w:after="120" w:line="360" w:lineRule="auto"/>
        <w:ind w:left="733" w:hanging="364"/>
        <w:rPr>
          <w:rFonts w:cs="David"/>
          <w:color w:val="auto"/>
          <w:sz w:val="24"/>
          <w:szCs w:val="24"/>
          <w:rtl/>
        </w:rPr>
      </w:pPr>
      <w:r w:rsidRPr="00C25249">
        <w:rPr>
          <w:rFonts w:cs="David" w:hint="cs"/>
          <w:color w:val="auto"/>
          <w:sz w:val="24"/>
          <w:szCs w:val="24"/>
          <w:rtl/>
        </w:rPr>
        <w:t xml:space="preserve">ועדת השרים לעניני חקיקה החליטה לתמוך בהצעות החוק </w:t>
      </w:r>
      <w:r w:rsidRPr="00C25249">
        <w:rPr>
          <w:rFonts w:cs="David" w:hint="cs"/>
          <w:color w:val="auto"/>
          <w:sz w:val="24"/>
          <w:szCs w:val="24"/>
          <w:u w:val="single"/>
          <w:rtl/>
        </w:rPr>
        <w:t xml:space="preserve">בכפוף </w:t>
      </w:r>
      <w:r w:rsidR="00FF54AD" w:rsidRPr="00C25249">
        <w:rPr>
          <w:rFonts w:cs="David" w:hint="cs"/>
          <w:color w:val="auto"/>
          <w:sz w:val="24"/>
          <w:szCs w:val="24"/>
          <w:u w:val="single"/>
          <w:rtl/>
        </w:rPr>
        <w:t>לכך שהצעות החוק יוצמדו ויוכפפו באופן מלא להצעת החוק הממשלתית באותו נושא</w:t>
      </w:r>
      <w:r w:rsidR="00FF54AD" w:rsidRPr="00C25249">
        <w:rPr>
          <w:rFonts w:cs="David" w:hint="cs"/>
          <w:color w:val="auto"/>
          <w:sz w:val="24"/>
          <w:szCs w:val="24"/>
          <w:rtl/>
        </w:rPr>
        <w:t xml:space="preserve">. הצעת חוק סדר הדין הפלילי (תיקון מס' 83) (התיישנות), התשע"ח-2018 </w:t>
      </w:r>
      <w:r w:rsidR="0019268D" w:rsidRPr="00C25249">
        <w:rPr>
          <w:rFonts w:cs="David" w:hint="cs"/>
          <w:color w:val="auto"/>
          <w:sz w:val="24"/>
          <w:szCs w:val="24"/>
          <w:rtl/>
        </w:rPr>
        <w:t xml:space="preserve">(שאמנם לא עוסקת ישירות באותו נושא אלא </w:t>
      </w:r>
      <w:r w:rsidR="00FF54AD" w:rsidRPr="00C25249">
        <w:rPr>
          <w:rFonts w:cs="David" w:hint="cs"/>
          <w:color w:val="auto"/>
          <w:sz w:val="24"/>
          <w:szCs w:val="24"/>
          <w:rtl/>
        </w:rPr>
        <w:t>בנושא</w:t>
      </w:r>
      <w:r w:rsidR="0019268D" w:rsidRPr="00C25249">
        <w:rPr>
          <w:rFonts w:cs="David" w:hint="cs"/>
          <w:color w:val="auto"/>
          <w:sz w:val="24"/>
          <w:szCs w:val="24"/>
          <w:rtl/>
        </w:rPr>
        <w:t xml:space="preserve"> התיישנות עבירות ועונשים, אך עשויה להיות לה השפעה גם על </w:t>
      </w:r>
      <w:r w:rsidR="00FF54AD" w:rsidRPr="00C25249">
        <w:rPr>
          <w:rFonts w:cs="David" w:hint="cs"/>
          <w:color w:val="auto"/>
          <w:sz w:val="24"/>
          <w:szCs w:val="24"/>
          <w:rtl/>
        </w:rPr>
        <w:t xml:space="preserve">משך </w:t>
      </w:r>
      <w:r w:rsidR="0019268D" w:rsidRPr="00C25249">
        <w:rPr>
          <w:rFonts w:cs="David" w:hint="cs"/>
          <w:color w:val="auto"/>
          <w:sz w:val="24"/>
          <w:szCs w:val="24"/>
          <w:rtl/>
        </w:rPr>
        <w:t xml:space="preserve">ניהול </w:t>
      </w:r>
      <w:r w:rsidR="00FF54AD" w:rsidRPr="00C25249">
        <w:rPr>
          <w:rFonts w:cs="David" w:hint="cs"/>
          <w:color w:val="auto"/>
          <w:sz w:val="24"/>
          <w:szCs w:val="24"/>
          <w:rtl/>
        </w:rPr>
        <w:t>ההליכים הפליליים</w:t>
      </w:r>
      <w:r w:rsidR="0019268D" w:rsidRPr="00C25249">
        <w:rPr>
          <w:rFonts w:cs="David" w:hint="cs"/>
          <w:color w:val="auto"/>
          <w:sz w:val="24"/>
          <w:szCs w:val="24"/>
          <w:rtl/>
        </w:rPr>
        <w:t>),</w:t>
      </w:r>
      <w:r w:rsidR="00FF54AD" w:rsidRPr="00C25249">
        <w:rPr>
          <w:rFonts w:cs="David" w:hint="cs"/>
          <w:color w:val="auto"/>
          <w:sz w:val="24"/>
          <w:szCs w:val="24"/>
          <w:rtl/>
        </w:rPr>
        <w:t xml:space="preserve"> הונחה על שולחן הכנסת ביום 1 בינואר 2018 ועברה בקריאה הראשונה ביום </w:t>
      </w:r>
      <w:r w:rsidR="00346254" w:rsidRPr="00C25249">
        <w:rPr>
          <w:rFonts w:cs="David" w:hint="cs"/>
          <w:color w:val="auto"/>
          <w:sz w:val="24"/>
          <w:szCs w:val="24"/>
          <w:rtl/>
        </w:rPr>
        <w:t>22 בינואר 2018.</w:t>
      </w:r>
      <w:r w:rsidR="00C25249" w:rsidRPr="00C25249">
        <w:rPr>
          <w:rFonts w:cs="David" w:hint="cs"/>
          <w:color w:val="auto"/>
          <w:sz w:val="24"/>
          <w:szCs w:val="24"/>
          <w:rtl/>
        </w:rPr>
        <w:t xml:space="preserve"> </w:t>
      </w:r>
      <w:r w:rsidR="00B13FB0" w:rsidRPr="00C25249">
        <w:rPr>
          <w:rFonts w:cs="David" w:hint="cs"/>
          <w:b/>
          <w:bCs/>
          <w:color w:val="auto"/>
          <w:sz w:val="24"/>
          <w:szCs w:val="24"/>
          <w:rtl/>
        </w:rPr>
        <w:t>ודוק</w:t>
      </w:r>
      <w:r w:rsidR="00B13FB0" w:rsidRPr="00C25249">
        <w:rPr>
          <w:rFonts w:cs="David" w:hint="cs"/>
          <w:color w:val="auto"/>
          <w:sz w:val="24"/>
          <w:szCs w:val="24"/>
          <w:rtl/>
        </w:rPr>
        <w:t xml:space="preserve">, </w:t>
      </w:r>
      <w:r w:rsidR="0001009B" w:rsidRPr="00C25249">
        <w:rPr>
          <w:rFonts w:cs="David" w:hint="cs"/>
          <w:color w:val="auto"/>
          <w:sz w:val="24"/>
          <w:szCs w:val="24"/>
          <w:rtl/>
        </w:rPr>
        <w:t>הממשלה מתנגדת לקביעת הוראות מפורשות בחקיקה המגבילות את משך התקופות לניהול הליכי חקירה ותביעה</w:t>
      </w:r>
      <w:r w:rsidR="00B13FB0" w:rsidRPr="00C25249">
        <w:rPr>
          <w:rFonts w:cs="David" w:hint="cs"/>
          <w:color w:val="auto"/>
          <w:sz w:val="24"/>
          <w:szCs w:val="24"/>
          <w:rtl/>
        </w:rPr>
        <w:t xml:space="preserve"> כמוצע בהצעות החוק הפרטיות</w:t>
      </w:r>
      <w:r w:rsidR="0001009B" w:rsidRPr="00C25249">
        <w:rPr>
          <w:rFonts w:cs="David" w:hint="cs"/>
          <w:color w:val="auto"/>
          <w:sz w:val="24"/>
          <w:szCs w:val="24"/>
          <w:rtl/>
        </w:rPr>
        <w:t>. זאת, משום שמדובר על נושא מורכב ורגיש אשר</w:t>
      </w:r>
      <w:r w:rsidR="00B13FB0" w:rsidRPr="00C25249">
        <w:rPr>
          <w:rFonts w:cs="David" w:hint="cs"/>
          <w:color w:val="auto"/>
          <w:sz w:val="24"/>
          <w:szCs w:val="24"/>
          <w:rtl/>
        </w:rPr>
        <w:t>, לגישת הממשלה,</w:t>
      </w:r>
      <w:r w:rsidR="0001009B" w:rsidRPr="00C25249">
        <w:rPr>
          <w:rFonts w:cs="David" w:hint="cs"/>
          <w:color w:val="auto"/>
          <w:sz w:val="24"/>
          <w:szCs w:val="24"/>
          <w:rtl/>
        </w:rPr>
        <w:t xml:space="preserve"> </w:t>
      </w:r>
      <w:r w:rsidR="00B13FB0" w:rsidRPr="00C25249">
        <w:rPr>
          <w:rFonts w:cs="David" w:hint="cs"/>
          <w:color w:val="auto"/>
          <w:sz w:val="24"/>
          <w:szCs w:val="24"/>
          <w:rtl/>
        </w:rPr>
        <w:t>מתאים ל</w:t>
      </w:r>
      <w:r w:rsidR="0001009B" w:rsidRPr="00C25249">
        <w:rPr>
          <w:rFonts w:cs="David" w:hint="cs"/>
          <w:color w:val="auto"/>
          <w:sz w:val="24"/>
          <w:szCs w:val="24"/>
          <w:rtl/>
        </w:rPr>
        <w:t xml:space="preserve">הנחיות פנימיות אשר קובעות אמות מידה ברורות </w:t>
      </w:r>
      <w:r w:rsidR="00B13FB0" w:rsidRPr="00C25249">
        <w:rPr>
          <w:rFonts w:cs="David" w:hint="cs"/>
          <w:color w:val="auto"/>
          <w:sz w:val="24"/>
          <w:szCs w:val="24"/>
          <w:rtl/>
        </w:rPr>
        <w:t xml:space="preserve">תוך הותרת </w:t>
      </w:r>
      <w:r w:rsidR="0001009B" w:rsidRPr="00C25249">
        <w:rPr>
          <w:rFonts w:cs="David" w:hint="cs"/>
          <w:color w:val="auto"/>
          <w:sz w:val="24"/>
          <w:szCs w:val="24"/>
          <w:rtl/>
        </w:rPr>
        <w:t xml:space="preserve">גמישות ושיקול דעת לרשויות החקירה והתביעה, לצד קביעת מנגנוני דיווח ובקרה. </w:t>
      </w:r>
      <w:r w:rsidR="00B13FB0" w:rsidRPr="00C25249">
        <w:rPr>
          <w:rFonts w:cs="David" w:hint="cs"/>
          <w:color w:val="auto"/>
          <w:sz w:val="24"/>
          <w:szCs w:val="24"/>
          <w:rtl/>
        </w:rPr>
        <w:t xml:space="preserve">בהתאם לכך, </w:t>
      </w:r>
      <w:r w:rsidR="0001009B" w:rsidRPr="00C25249">
        <w:rPr>
          <w:rFonts w:cs="David" w:hint="cs"/>
          <w:color w:val="auto"/>
          <w:sz w:val="24"/>
          <w:szCs w:val="24"/>
          <w:rtl/>
        </w:rPr>
        <w:t xml:space="preserve">הנושא טופל </w:t>
      </w:r>
      <w:r w:rsidR="00B13FB0" w:rsidRPr="00C25249">
        <w:rPr>
          <w:rFonts w:cs="David" w:hint="cs"/>
          <w:color w:val="auto"/>
          <w:sz w:val="24"/>
          <w:szCs w:val="24"/>
          <w:rtl/>
        </w:rPr>
        <w:t xml:space="preserve">לפני מספר שנים </w:t>
      </w:r>
      <w:r w:rsidR="0001009B" w:rsidRPr="00C25249">
        <w:rPr>
          <w:rFonts w:cs="David" w:hint="cs"/>
          <w:color w:val="auto"/>
          <w:sz w:val="24"/>
          <w:szCs w:val="24"/>
          <w:rtl/>
        </w:rPr>
        <w:t>ו</w:t>
      </w:r>
      <w:r w:rsidR="00B13FB0" w:rsidRPr="00C25249">
        <w:rPr>
          <w:rFonts w:cs="David" w:hint="cs"/>
          <w:color w:val="auto"/>
          <w:sz w:val="24"/>
          <w:szCs w:val="24"/>
          <w:rtl/>
        </w:rPr>
        <w:t>לפי הנתונים הרשויות עומדות במרבית המקרים במועדים שנקבעו ויש מגמת צמצום במספר ההליכים הנמשכים מעבר למועדים</w:t>
      </w:r>
      <w:r w:rsidR="0001009B" w:rsidRPr="00C25249">
        <w:rPr>
          <w:rFonts w:cs="David" w:hint="cs"/>
          <w:color w:val="auto"/>
          <w:sz w:val="24"/>
          <w:szCs w:val="24"/>
          <w:rtl/>
        </w:rPr>
        <w:t xml:space="preserve">. משכך, </w:t>
      </w:r>
      <w:r w:rsidR="00AB62E1" w:rsidRPr="00C25249">
        <w:rPr>
          <w:rFonts w:cs="David" w:hint="cs"/>
          <w:color w:val="auto"/>
          <w:sz w:val="24"/>
          <w:szCs w:val="24"/>
          <w:rtl/>
        </w:rPr>
        <w:t xml:space="preserve">לדעת הממשלה, אין </w:t>
      </w:r>
      <w:r w:rsidR="0001009B" w:rsidRPr="00C25249">
        <w:rPr>
          <w:rFonts w:cs="David" w:hint="cs"/>
          <w:color w:val="auto"/>
          <w:sz w:val="24"/>
          <w:szCs w:val="24"/>
          <w:rtl/>
        </w:rPr>
        <w:t xml:space="preserve">צורך </w:t>
      </w:r>
      <w:r w:rsidR="00B13FB0" w:rsidRPr="00C25249">
        <w:rPr>
          <w:rFonts w:cs="David" w:hint="cs"/>
          <w:color w:val="auto"/>
          <w:sz w:val="24"/>
          <w:szCs w:val="24"/>
          <w:rtl/>
        </w:rPr>
        <w:t xml:space="preserve">ואין הצדקה </w:t>
      </w:r>
      <w:r w:rsidR="0001009B" w:rsidRPr="00C25249">
        <w:rPr>
          <w:rFonts w:cs="David" w:hint="cs"/>
          <w:color w:val="auto"/>
          <w:sz w:val="24"/>
          <w:szCs w:val="24"/>
          <w:rtl/>
        </w:rPr>
        <w:t xml:space="preserve">לקבוע את הדברים בחקיקה ראשית. </w:t>
      </w:r>
    </w:p>
    <w:p w:rsidR="007714EE" w:rsidRDefault="00751D42" w:rsidP="008164E4">
      <w:pPr>
        <w:pStyle w:val="a7"/>
        <w:numPr>
          <w:ilvl w:val="0"/>
          <w:numId w:val="22"/>
        </w:numPr>
        <w:spacing w:after="120" w:line="360" w:lineRule="auto"/>
        <w:rPr>
          <w:rFonts w:cs="David"/>
          <w:color w:val="auto"/>
          <w:sz w:val="24"/>
          <w:szCs w:val="24"/>
        </w:rPr>
      </w:pPr>
      <w:r w:rsidRPr="00AB62E1">
        <w:rPr>
          <w:rFonts w:cs="David" w:hint="cs"/>
          <w:color w:val="auto"/>
          <w:sz w:val="24"/>
          <w:szCs w:val="24"/>
          <w:rtl/>
        </w:rPr>
        <w:t xml:space="preserve">הצעת </w:t>
      </w:r>
      <w:r w:rsidR="00FF54AD" w:rsidRPr="00AB62E1">
        <w:rPr>
          <w:rFonts w:cs="David" w:hint="cs"/>
          <w:color w:val="auto"/>
          <w:sz w:val="24"/>
          <w:szCs w:val="24"/>
          <w:rtl/>
        </w:rPr>
        <w:t>ה</w:t>
      </w:r>
      <w:r w:rsidRPr="00AB62E1">
        <w:rPr>
          <w:rFonts w:cs="David" w:hint="cs"/>
          <w:color w:val="auto"/>
          <w:sz w:val="24"/>
          <w:szCs w:val="24"/>
          <w:rtl/>
        </w:rPr>
        <w:t xml:space="preserve">חוק </w:t>
      </w:r>
      <w:r w:rsidR="00B13FB0" w:rsidRPr="00AB62E1">
        <w:rPr>
          <w:rFonts w:cs="David" w:hint="cs"/>
          <w:color w:val="auto"/>
          <w:sz w:val="24"/>
          <w:szCs w:val="24"/>
          <w:rtl/>
        </w:rPr>
        <w:t>הממשלתית</w:t>
      </w:r>
      <w:r w:rsidR="00FF54AD" w:rsidRPr="00AB62E1">
        <w:rPr>
          <w:rFonts w:cs="David" w:hint="cs"/>
          <w:color w:val="auto"/>
          <w:sz w:val="24"/>
          <w:szCs w:val="24"/>
          <w:rtl/>
        </w:rPr>
        <w:t xml:space="preserve"> מתקנת</w:t>
      </w:r>
      <w:r w:rsidR="00B13FB0" w:rsidRPr="00AB62E1">
        <w:rPr>
          <w:rFonts w:cs="David" w:hint="cs"/>
          <w:color w:val="auto"/>
          <w:sz w:val="24"/>
          <w:szCs w:val="24"/>
          <w:rtl/>
        </w:rPr>
        <w:t>, כאמור,</w:t>
      </w:r>
      <w:r w:rsidR="00FF54AD" w:rsidRPr="00AB62E1">
        <w:rPr>
          <w:rFonts w:cs="David" w:hint="cs"/>
          <w:color w:val="auto"/>
          <w:sz w:val="24"/>
          <w:szCs w:val="24"/>
          <w:rtl/>
        </w:rPr>
        <w:t xml:space="preserve"> את הסדר ההתיישנות של עבירות ועונשים </w:t>
      </w:r>
      <w:r w:rsidR="0019268D" w:rsidRPr="00AB62E1">
        <w:rPr>
          <w:rFonts w:cs="David" w:hint="cs"/>
          <w:color w:val="auto"/>
          <w:sz w:val="24"/>
          <w:szCs w:val="24"/>
          <w:rtl/>
        </w:rPr>
        <w:t>הקבוע בסעיפים 9 ו-10 לחוק סדר הדין הפלילי [נוסח משולב], התשמ"ב-1982</w:t>
      </w:r>
      <w:r w:rsidR="00531C81" w:rsidRPr="00AB62E1">
        <w:rPr>
          <w:rFonts w:cs="David" w:hint="cs"/>
          <w:color w:val="auto"/>
          <w:sz w:val="24"/>
          <w:szCs w:val="24"/>
          <w:rtl/>
        </w:rPr>
        <w:t>, ובכך עשויה להיות לה השפעה גם על משך ניהול ההליכים הפליליים</w:t>
      </w:r>
      <w:r w:rsidR="0019268D" w:rsidRPr="00AB62E1">
        <w:rPr>
          <w:rFonts w:cs="David" w:hint="cs"/>
          <w:color w:val="auto"/>
          <w:sz w:val="24"/>
          <w:szCs w:val="24"/>
          <w:rtl/>
        </w:rPr>
        <w:t xml:space="preserve">. </w:t>
      </w:r>
    </w:p>
    <w:p w:rsidR="007714EE" w:rsidRDefault="007714EE" w:rsidP="007714EE">
      <w:pPr>
        <w:pStyle w:val="a7"/>
        <w:spacing w:after="120" w:line="360" w:lineRule="auto"/>
        <w:ind w:firstLine="0"/>
        <w:rPr>
          <w:rFonts w:cs="David"/>
          <w:color w:val="auto"/>
          <w:sz w:val="24"/>
          <w:szCs w:val="24"/>
          <w:rtl/>
        </w:rPr>
      </w:pPr>
    </w:p>
    <w:p w:rsidR="00AB62E1" w:rsidRPr="007714EE" w:rsidRDefault="00AB62E1" w:rsidP="007714EE">
      <w:pPr>
        <w:pStyle w:val="a7"/>
        <w:spacing w:after="120" w:line="360" w:lineRule="auto"/>
        <w:ind w:firstLine="0"/>
        <w:rPr>
          <w:rFonts w:cs="David"/>
          <w:color w:val="auto"/>
          <w:sz w:val="24"/>
          <w:szCs w:val="24"/>
          <w:u w:val="single"/>
          <w:rtl/>
        </w:rPr>
      </w:pPr>
      <w:r w:rsidRPr="007714EE">
        <w:rPr>
          <w:rFonts w:cs="David" w:hint="cs"/>
          <w:color w:val="auto"/>
          <w:sz w:val="24"/>
          <w:szCs w:val="24"/>
          <w:u w:val="single"/>
          <w:rtl/>
        </w:rPr>
        <w:t>הסוגיות העיקריות</w:t>
      </w:r>
      <w:r w:rsidR="007714EE" w:rsidRPr="007714EE">
        <w:rPr>
          <w:rFonts w:cs="David" w:hint="cs"/>
          <w:color w:val="auto"/>
          <w:sz w:val="24"/>
          <w:szCs w:val="24"/>
          <w:u w:val="single"/>
          <w:rtl/>
        </w:rPr>
        <w:t xml:space="preserve"> בהן עוסקת הצעת החוק הממשלתית הן:</w:t>
      </w:r>
    </w:p>
    <w:p w:rsidR="00751D42" w:rsidRDefault="00751D42" w:rsidP="008164E4">
      <w:pPr>
        <w:pStyle w:val="a7"/>
        <w:numPr>
          <w:ilvl w:val="0"/>
          <w:numId w:val="1"/>
        </w:numPr>
        <w:spacing w:before="0" w:after="120" w:line="360" w:lineRule="auto"/>
        <w:ind w:left="1013" w:hanging="280"/>
        <w:rPr>
          <w:rFonts w:cs="David"/>
          <w:color w:val="auto"/>
          <w:sz w:val="24"/>
          <w:szCs w:val="24"/>
        </w:rPr>
      </w:pPr>
      <w:r>
        <w:rPr>
          <w:rFonts w:cs="David" w:hint="cs"/>
          <w:color w:val="auto"/>
          <w:sz w:val="24"/>
          <w:szCs w:val="24"/>
          <w:rtl/>
        </w:rPr>
        <w:t>הגבלת התקופה להארכת תקופת ההתיישנות כתוצאה מביצוע פעולות חקירה</w:t>
      </w:r>
      <w:r w:rsidR="00FF54AD">
        <w:rPr>
          <w:rFonts w:cs="David" w:hint="cs"/>
          <w:color w:val="auto"/>
          <w:sz w:val="24"/>
          <w:szCs w:val="24"/>
          <w:rtl/>
        </w:rPr>
        <w:t xml:space="preserve"> (ב</w:t>
      </w:r>
      <w:r w:rsidR="00887008">
        <w:rPr>
          <w:rFonts w:cs="David" w:hint="cs"/>
          <w:color w:val="auto"/>
          <w:sz w:val="24"/>
          <w:szCs w:val="24"/>
          <w:rtl/>
        </w:rPr>
        <w:t>זיקה ל</w:t>
      </w:r>
      <w:r w:rsidR="00FF54AD">
        <w:rPr>
          <w:rFonts w:cs="David" w:hint="cs"/>
          <w:color w:val="auto"/>
          <w:sz w:val="24"/>
          <w:szCs w:val="24"/>
          <w:rtl/>
        </w:rPr>
        <w:t>הנחית היועמ"ש בענין הגבלת משך טיפול התביעה עד להגשת כתב אישום)</w:t>
      </w:r>
      <w:r>
        <w:rPr>
          <w:rFonts w:cs="David" w:hint="cs"/>
          <w:color w:val="auto"/>
          <w:sz w:val="24"/>
          <w:szCs w:val="24"/>
          <w:rtl/>
        </w:rPr>
        <w:t xml:space="preserve">. </w:t>
      </w:r>
    </w:p>
    <w:p w:rsidR="00751D42" w:rsidRDefault="00751D42" w:rsidP="008164E4">
      <w:pPr>
        <w:pStyle w:val="a7"/>
        <w:numPr>
          <w:ilvl w:val="0"/>
          <w:numId w:val="1"/>
        </w:numPr>
        <w:spacing w:before="0" w:after="120" w:line="360" w:lineRule="auto"/>
        <w:ind w:left="1013" w:hanging="280"/>
        <w:rPr>
          <w:rFonts w:cs="David"/>
          <w:color w:val="auto"/>
          <w:sz w:val="24"/>
          <w:szCs w:val="24"/>
        </w:rPr>
      </w:pPr>
      <w:r>
        <w:rPr>
          <w:rFonts w:cs="David" w:hint="cs"/>
          <w:color w:val="auto"/>
          <w:sz w:val="24"/>
          <w:szCs w:val="24"/>
          <w:rtl/>
        </w:rPr>
        <w:t>קביעת פרקי זמן אשר לא יובאו בחשבון לצורך חישוב תקופת ההתיישנות</w:t>
      </w:r>
      <w:r w:rsidR="00FF54AD">
        <w:rPr>
          <w:rFonts w:cs="David" w:hint="cs"/>
          <w:color w:val="auto"/>
          <w:sz w:val="24"/>
          <w:szCs w:val="24"/>
          <w:rtl/>
        </w:rPr>
        <w:t xml:space="preserve"> (בהתבסס על הנחית היועמ"ש בענין הגבלת משך טיפול התביעה עד להגשת כתב אישום)</w:t>
      </w:r>
      <w:r>
        <w:rPr>
          <w:rFonts w:cs="David" w:hint="cs"/>
          <w:color w:val="auto"/>
          <w:sz w:val="24"/>
          <w:szCs w:val="24"/>
          <w:rtl/>
        </w:rPr>
        <w:t xml:space="preserve">. </w:t>
      </w:r>
    </w:p>
    <w:p w:rsidR="00751D42" w:rsidRDefault="00751D42" w:rsidP="008164E4">
      <w:pPr>
        <w:pStyle w:val="a7"/>
        <w:numPr>
          <w:ilvl w:val="0"/>
          <w:numId w:val="1"/>
        </w:numPr>
        <w:spacing w:before="0" w:after="120" w:line="360" w:lineRule="auto"/>
        <w:ind w:left="1013" w:hanging="280"/>
        <w:rPr>
          <w:rFonts w:cs="David"/>
          <w:color w:val="auto"/>
          <w:sz w:val="24"/>
          <w:szCs w:val="24"/>
        </w:rPr>
      </w:pPr>
      <w:r>
        <w:rPr>
          <w:rFonts w:cs="David" w:hint="cs"/>
          <w:color w:val="auto"/>
          <w:sz w:val="24"/>
          <w:szCs w:val="24"/>
          <w:rtl/>
        </w:rPr>
        <w:t xml:space="preserve">קביעת תקופת התיישנות ארוכה יותר לעבירות חמורות במיוחד. </w:t>
      </w:r>
    </w:p>
    <w:p w:rsidR="00751D42" w:rsidRDefault="00751D42" w:rsidP="008164E4">
      <w:pPr>
        <w:pStyle w:val="a7"/>
        <w:numPr>
          <w:ilvl w:val="0"/>
          <w:numId w:val="1"/>
        </w:numPr>
        <w:spacing w:before="0" w:after="120" w:line="360" w:lineRule="auto"/>
        <w:ind w:left="1013" w:hanging="280"/>
        <w:rPr>
          <w:rFonts w:cs="David"/>
          <w:color w:val="auto"/>
          <w:sz w:val="24"/>
          <w:szCs w:val="24"/>
        </w:rPr>
      </w:pPr>
      <w:r>
        <w:rPr>
          <w:rFonts w:cs="David" w:hint="cs"/>
          <w:color w:val="auto"/>
          <w:sz w:val="24"/>
          <w:szCs w:val="24"/>
          <w:rtl/>
        </w:rPr>
        <w:t xml:space="preserve">הוספת עבירת הרצח לרשימת העבירות שאין להן תקופת התיישנות כלל. </w:t>
      </w:r>
    </w:p>
    <w:p w:rsidR="00DC37B2" w:rsidRPr="009979DB" w:rsidRDefault="00DB0E8F" w:rsidP="00AB62E1">
      <w:pPr>
        <w:spacing w:before="0" w:after="120" w:line="360" w:lineRule="auto"/>
        <w:ind w:left="1013" w:hanging="280"/>
        <w:rPr>
          <w:rFonts w:cs="David"/>
          <w:color w:val="auto"/>
          <w:sz w:val="20"/>
          <w:szCs w:val="20"/>
          <w:rtl/>
        </w:rPr>
      </w:pPr>
      <w:r w:rsidRPr="009979DB">
        <w:rPr>
          <w:rFonts w:cs="David" w:hint="cs"/>
          <w:color w:val="auto"/>
          <w:sz w:val="20"/>
          <w:szCs w:val="20"/>
          <w:rtl/>
        </w:rPr>
        <w:t xml:space="preserve">* </w:t>
      </w:r>
      <w:r w:rsidR="00B13FB0" w:rsidRPr="009979DB">
        <w:rPr>
          <w:rFonts w:cs="David" w:hint="cs"/>
          <w:color w:val="auto"/>
          <w:sz w:val="20"/>
          <w:szCs w:val="20"/>
          <w:rtl/>
        </w:rPr>
        <w:t xml:space="preserve">פירוט נוסף בענין הצעת החוק הממשלתית יובא במסמך נפרד. </w:t>
      </w:r>
    </w:p>
    <w:p w:rsidR="00AF7173" w:rsidRPr="0019268D" w:rsidRDefault="00AF7173" w:rsidP="005A322F">
      <w:pPr>
        <w:spacing w:after="120" w:line="360" w:lineRule="auto"/>
        <w:ind w:firstLine="0"/>
        <w:rPr>
          <w:rFonts w:cs="David"/>
          <w:b/>
          <w:bCs/>
          <w:color w:val="auto"/>
          <w:sz w:val="24"/>
          <w:szCs w:val="24"/>
          <w:u w:val="single"/>
          <w:rtl/>
        </w:rPr>
      </w:pPr>
      <w:r>
        <w:rPr>
          <w:rFonts w:cs="David" w:hint="cs"/>
          <w:b/>
          <w:bCs/>
          <w:color w:val="auto"/>
          <w:sz w:val="24"/>
          <w:szCs w:val="24"/>
          <w:u w:val="single"/>
          <w:rtl/>
        </w:rPr>
        <w:t xml:space="preserve">נתונים </w:t>
      </w:r>
    </w:p>
    <w:p w:rsidR="00D42910" w:rsidRDefault="00A87A7D" w:rsidP="00A87A7D">
      <w:pPr>
        <w:spacing w:before="0" w:after="120" w:line="360" w:lineRule="auto"/>
        <w:ind w:firstLine="0"/>
        <w:rPr>
          <w:rFonts w:cs="David"/>
          <w:color w:val="auto"/>
          <w:sz w:val="24"/>
          <w:szCs w:val="24"/>
          <w:rtl/>
        </w:rPr>
      </w:pPr>
      <w:r>
        <w:rPr>
          <w:rFonts w:cs="David" w:hint="cs"/>
          <w:color w:val="auto"/>
          <w:sz w:val="24"/>
          <w:szCs w:val="24"/>
          <w:rtl/>
        </w:rPr>
        <w:t xml:space="preserve">במאי 2017 הוכן ע"י מרכז המחקר והמידע של הכנסת מסמך בעניין "משך הטיפול בתיקי עבירות עד להגשת כתב אישום או גניזתם". מסמך זה כולל </w:t>
      </w:r>
      <w:r w:rsidR="00D42910">
        <w:rPr>
          <w:rFonts w:cs="David" w:hint="cs"/>
          <w:color w:val="auto"/>
          <w:sz w:val="24"/>
          <w:szCs w:val="24"/>
          <w:rtl/>
        </w:rPr>
        <w:t xml:space="preserve">נתונים </w:t>
      </w:r>
      <w:r>
        <w:rPr>
          <w:rFonts w:cs="David" w:hint="cs"/>
          <w:color w:val="auto"/>
          <w:sz w:val="24"/>
          <w:szCs w:val="24"/>
          <w:rtl/>
        </w:rPr>
        <w:t xml:space="preserve">עדכניים </w:t>
      </w:r>
      <w:r w:rsidR="00D42910">
        <w:rPr>
          <w:rFonts w:cs="David" w:hint="cs"/>
          <w:color w:val="auto"/>
          <w:sz w:val="24"/>
          <w:szCs w:val="24"/>
          <w:rtl/>
        </w:rPr>
        <w:t xml:space="preserve">בעניין משך הליכי חקירה </w:t>
      </w:r>
      <w:r>
        <w:rPr>
          <w:rFonts w:cs="David" w:hint="cs"/>
          <w:color w:val="auto"/>
          <w:sz w:val="24"/>
          <w:szCs w:val="24"/>
          <w:rtl/>
        </w:rPr>
        <w:t xml:space="preserve">והעמדה לדין כפי שהועברו ע"י המשטרה והפרקליטות. </w:t>
      </w:r>
    </w:p>
    <w:p w:rsidR="00D42910" w:rsidRDefault="00D42910" w:rsidP="00D42910">
      <w:pPr>
        <w:spacing w:before="0" w:after="120" w:line="360" w:lineRule="auto"/>
        <w:ind w:firstLine="0"/>
        <w:rPr>
          <w:rFonts w:cs="David"/>
          <w:color w:val="auto"/>
          <w:sz w:val="24"/>
          <w:szCs w:val="24"/>
          <w:rtl/>
        </w:rPr>
      </w:pPr>
      <w:r>
        <w:rPr>
          <w:rFonts w:cs="David" w:hint="cs"/>
          <w:color w:val="auto"/>
          <w:sz w:val="24"/>
          <w:szCs w:val="24"/>
          <w:rtl/>
        </w:rPr>
        <w:t xml:space="preserve">להלן המסקנות העיקריות העולות מן המסמך:  </w:t>
      </w:r>
    </w:p>
    <w:p w:rsidR="00A87A7D" w:rsidRDefault="006437B0" w:rsidP="008164E4">
      <w:pPr>
        <w:pStyle w:val="a7"/>
        <w:numPr>
          <w:ilvl w:val="0"/>
          <w:numId w:val="23"/>
        </w:numPr>
        <w:spacing w:before="0" w:after="120" w:line="360" w:lineRule="auto"/>
        <w:rPr>
          <w:rFonts w:cs="David"/>
          <w:color w:val="auto"/>
          <w:sz w:val="24"/>
          <w:szCs w:val="24"/>
        </w:rPr>
      </w:pPr>
      <w:r>
        <w:rPr>
          <w:rFonts w:cs="David" w:hint="cs"/>
          <w:color w:val="auto"/>
          <w:sz w:val="24"/>
          <w:szCs w:val="24"/>
          <w:rtl/>
        </w:rPr>
        <w:t xml:space="preserve">ככלל </w:t>
      </w:r>
      <w:r w:rsidR="00A87A7D">
        <w:rPr>
          <w:rFonts w:cs="David" w:hint="cs"/>
          <w:color w:val="auto"/>
          <w:sz w:val="24"/>
          <w:szCs w:val="24"/>
          <w:rtl/>
        </w:rPr>
        <w:t xml:space="preserve">עבירות מסוג חטא אינן נאכפות ולכן אין נתונים בעניין משך הליכי חקירה </w:t>
      </w:r>
      <w:r>
        <w:rPr>
          <w:rFonts w:cs="David" w:hint="cs"/>
          <w:color w:val="auto"/>
          <w:sz w:val="24"/>
          <w:szCs w:val="24"/>
          <w:rtl/>
        </w:rPr>
        <w:t>בהן</w:t>
      </w:r>
      <w:r w:rsidR="00A87A7D">
        <w:rPr>
          <w:rFonts w:cs="David" w:hint="cs"/>
          <w:color w:val="auto"/>
          <w:sz w:val="24"/>
          <w:szCs w:val="24"/>
          <w:rtl/>
        </w:rPr>
        <w:t xml:space="preserve">. </w:t>
      </w:r>
    </w:p>
    <w:p w:rsidR="006437B0" w:rsidRDefault="00B34F0D" w:rsidP="008164E4">
      <w:pPr>
        <w:pStyle w:val="a7"/>
        <w:numPr>
          <w:ilvl w:val="0"/>
          <w:numId w:val="23"/>
        </w:numPr>
        <w:spacing w:before="0" w:after="120" w:line="360" w:lineRule="auto"/>
        <w:rPr>
          <w:rFonts w:cs="David"/>
          <w:color w:val="auto"/>
          <w:sz w:val="24"/>
          <w:szCs w:val="24"/>
        </w:rPr>
      </w:pPr>
      <w:r>
        <w:rPr>
          <w:rFonts w:cs="David" w:hint="cs"/>
          <w:color w:val="auto"/>
          <w:sz w:val="24"/>
          <w:szCs w:val="24"/>
          <w:rtl/>
        </w:rPr>
        <w:t xml:space="preserve">הטיפול בעבירות </w:t>
      </w:r>
      <w:r w:rsidRPr="00A048CF">
        <w:rPr>
          <w:rFonts w:cs="David"/>
          <w:b/>
          <w:bCs/>
          <w:color w:val="auto"/>
          <w:sz w:val="24"/>
          <w:szCs w:val="24"/>
          <w:u w:val="single"/>
          <w:rtl/>
          <w:rPrChange w:id="19" w:author="גור בליי" w:date="2018-01-24T17:51:00Z">
            <w:rPr>
              <w:rFonts w:cs="David"/>
              <w:color w:val="auto"/>
              <w:sz w:val="24"/>
              <w:szCs w:val="24"/>
              <w:rtl/>
            </w:rPr>
          </w:rPrChange>
        </w:rPr>
        <w:t>עוון ופשע</w:t>
      </w:r>
      <w:r w:rsidR="006454D8">
        <w:rPr>
          <w:rFonts w:cs="David" w:hint="cs"/>
          <w:color w:val="auto"/>
          <w:sz w:val="24"/>
          <w:szCs w:val="24"/>
          <w:rtl/>
        </w:rPr>
        <w:t xml:space="preserve"> ע"י המשטרה</w:t>
      </w:r>
      <w:r>
        <w:rPr>
          <w:rFonts w:cs="David" w:hint="cs"/>
          <w:color w:val="auto"/>
          <w:sz w:val="24"/>
          <w:szCs w:val="24"/>
          <w:rtl/>
        </w:rPr>
        <w:t xml:space="preserve"> </w:t>
      </w:r>
      <w:r w:rsidR="006454D8">
        <w:rPr>
          <w:rFonts w:cs="David" w:hint="cs"/>
          <w:color w:val="auto"/>
          <w:sz w:val="24"/>
          <w:szCs w:val="24"/>
          <w:rtl/>
        </w:rPr>
        <w:t xml:space="preserve">וע"י הפרקליטות </w:t>
      </w:r>
      <w:r w:rsidR="006454D8" w:rsidRPr="00A048CF">
        <w:rPr>
          <w:rFonts w:cs="David"/>
          <w:b/>
          <w:bCs/>
          <w:color w:val="auto"/>
          <w:sz w:val="24"/>
          <w:szCs w:val="24"/>
          <w:rtl/>
          <w:rPrChange w:id="20" w:author="גור בליי" w:date="2018-01-24T17:51:00Z">
            <w:rPr>
              <w:rFonts w:cs="David"/>
              <w:color w:val="auto"/>
              <w:sz w:val="24"/>
              <w:szCs w:val="24"/>
              <w:rtl/>
            </w:rPr>
          </w:rPrChange>
        </w:rPr>
        <w:t xml:space="preserve">עומד </w:t>
      </w:r>
      <w:r w:rsidRPr="00A048CF">
        <w:rPr>
          <w:rFonts w:cs="David"/>
          <w:b/>
          <w:bCs/>
          <w:color w:val="auto"/>
          <w:sz w:val="24"/>
          <w:szCs w:val="24"/>
          <w:rtl/>
          <w:rPrChange w:id="21" w:author="גור בליי" w:date="2018-01-24T17:51:00Z">
            <w:rPr>
              <w:rFonts w:cs="David"/>
              <w:color w:val="auto"/>
              <w:sz w:val="24"/>
              <w:szCs w:val="24"/>
              <w:rtl/>
            </w:rPr>
          </w:rPrChange>
        </w:rPr>
        <w:t xml:space="preserve">ברוב המקרים </w:t>
      </w:r>
      <w:r w:rsidR="006454D8" w:rsidRPr="00A048CF">
        <w:rPr>
          <w:rFonts w:cs="David"/>
          <w:b/>
          <w:bCs/>
          <w:color w:val="auto"/>
          <w:sz w:val="24"/>
          <w:szCs w:val="24"/>
          <w:rtl/>
          <w:rPrChange w:id="22" w:author="גור בליי" w:date="2018-01-24T17:51:00Z">
            <w:rPr>
              <w:rFonts w:cs="David"/>
              <w:color w:val="auto"/>
              <w:sz w:val="24"/>
              <w:szCs w:val="24"/>
              <w:rtl/>
            </w:rPr>
          </w:rPrChange>
        </w:rPr>
        <w:t>ב</w:t>
      </w:r>
      <w:r w:rsidRPr="00A048CF">
        <w:rPr>
          <w:rFonts w:cs="David"/>
          <w:b/>
          <w:bCs/>
          <w:color w:val="auto"/>
          <w:sz w:val="24"/>
          <w:szCs w:val="24"/>
          <w:rtl/>
          <w:rPrChange w:id="23" w:author="גור בליי" w:date="2018-01-24T17:51:00Z">
            <w:rPr>
              <w:rFonts w:cs="David"/>
              <w:color w:val="auto"/>
              <w:sz w:val="24"/>
              <w:szCs w:val="24"/>
              <w:rtl/>
            </w:rPr>
          </w:rPrChange>
        </w:rPr>
        <w:t>תקופות הקבועות בהנחיות</w:t>
      </w:r>
      <w:r>
        <w:rPr>
          <w:rFonts w:cs="David" w:hint="cs"/>
          <w:color w:val="auto"/>
          <w:sz w:val="24"/>
          <w:szCs w:val="24"/>
          <w:rtl/>
        </w:rPr>
        <w:t xml:space="preserve"> וקיימת מגמת </w:t>
      </w:r>
      <w:r w:rsidR="00C452B3">
        <w:rPr>
          <w:rFonts w:cs="David" w:hint="cs"/>
          <w:color w:val="auto"/>
          <w:sz w:val="24"/>
          <w:szCs w:val="24"/>
          <w:rtl/>
        </w:rPr>
        <w:t>הקפדה ו</w:t>
      </w:r>
      <w:r>
        <w:rPr>
          <w:rFonts w:cs="David" w:hint="cs"/>
          <w:color w:val="auto"/>
          <w:sz w:val="24"/>
          <w:szCs w:val="24"/>
          <w:rtl/>
        </w:rPr>
        <w:t>שיפור בשנים האחרונות.</w:t>
      </w:r>
      <w:r w:rsidR="006437B0">
        <w:rPr>
          <w:rFonts w:cs="David" w:hint="cs"/>
          <w:color w:val="auto"/>
          <w:sz w:val="24"/>
          <w:szCs w:val="24"/>
          <w:rtl/>
        </w:rPr>
        <w:t xml:space="preserve"> </w:t>
      </w:r>
    </w:p>
    <w:p w:rsidR="006437B0" w:rsidRDefault="006437B0" w:rsidP="008164E4">
      <w:pPr>
        <w:pStyle w:val="a7"/>
        <w:numPr>
          <w:ilvl w:val="0"/>
          <w:numId w:val="23"/>
        </w:numPr>
        <w:spacing w:before="0" w:after="120" w:line="360" w:lineRule="auto"/>
        <w:rPr>
          <w:rFonts w:cs="David"/>
          <w:color w:val="auto"/>
          <w:sz w:val="24"/>
          <w:szCs w:val="24"/>
        </w:rPr>
      </w:pPr>
      <w:r>
        <w:rPr>
          <w:rFonts w:cs="David" w:hint="cs"/>
          <w:color w:val="auto"/>
          <w:sz w:val="24"/>
          <w:szCs w:val="24"/>
          <w:rtl/>
        </w:rPr>
        <w:t xml:space="preserve">ככלל, הנתונים מלמדים </w:t>
      </w:r>
      <w:r w:rsidRPr="00A048CF">
        <w:rPr>
          <w:rFonts w:cs="David"/>
          <w:b/>
          <w:bCs/>
          <w:color w:val="auto"/>
          <w:sz w:val="24"/>
          <w:szCs w:val="24"/>
          <w:rtl/>
          <w:rPrChange w:id="24" w:author="גור בליי" w:date="2018-01-24T17:51:00Z">
            <w:rPr>
              <w:rFonts w:cs="David"/>
              <w:color w:val="auto"/>
              <w:sz w:val="24"/>
              <w:szCs w:val="24"/>
              <w:rtl/>
            </w:rPr>
          </w:rPrChange>
        </w:rPr>
        <w:t>שהמשטרה עומדת ב</w:t>
      </w:r>
      <w:r w:rsidR="00C452B3" w:rsidRPr="00A048CF">
        <w:rPr>
          <w:rFonts w:cs="David"/>
          <w:b/>
          <w:bCs/>
          <w:color w:val="auto"/>
          <w:sz w:val="24"/>
          <w:szCs w:val="24"/>
          <w:rtl/>
          <w:rPrChange w:id="25" w:author="גור בליי" w:date="2018-01-24T17:51:00Z">
            <w:rPr>
              <w:rFonts w:cs="David"/>
              <w:color w:val="auto"/>
              <w:sz w:val="24"/>
              <w:szCs w:val="24"/>
              <w:rtl/>
            </w:rPr>
          </w:rPrChange>
        </w:rPr>
        <w:t>תקופות הקבועות ב</w:t>
      </w:r>
      <w:r w:rsidRPr="00A048CF">
        <w:rPr>
          <w:rFonts w:cs="David"/>
          <w:b/>
          <w:bCs/>
          <w:color w:val="auto"/>
          <w:sz w:val="24"/>
          <w:szCs w:val="24"/>
          <w:rtl/>
          <w:rPrChange w:id="26" w:author="גור בליי" w:date="2018-01-24T17:51:00Z">
            <w:rPr>
              <w:rFonts w:cs="David"/>
              <w:color w:val="auto"/>
              <w:sz w:val="24"/>
              <w:szCs w:val="24"/>
              <w:rtl/>
            </w:rPr>
          </w:rPrChange>
        </w:rPr>
        <w:t>הנחיות יותר מאשר הפרקליטות</w:t>
      </w:r>
      <w:r>
        <w:rPr>
          <w:rFonts w:cs="David" w:hint="cs"/>
          <w:color w:val="auto"/>
          <w:sz w:val="24"/>
          <w:szCs w:val="24"/>
          <w:rtl/>
        </w:rPr>
        <w:t xml:space="preserve">. </w:t>
      </w:r>
      <w:r w:rsidR="006454D8">
        <w:rPr>
          <w:rFonts w:cs="David" w:hint="cs"/>
          <w:color w:val="auto"/>
          <w:sz w:val="24"/>
          <w:szCs w:val="24"/>
          <w:rtl/>
        </w:rPr>
        <w:t>הטיפול ב</w:t>
      </w:r>
      <w:r>
        <w:rPr>
          <w:rFonts w:cs="David" w:hint="cs"/>
          <w:color w:val="auto"/>
          <w:sz w:val="24"/>
          <w:szCs w:val="24"/>
          <w:rtl/>
        </w:rPr>
        <w:t>רוב ה</w:t>
      </w:r>
      <w:r w:rsidR="006454D8">
        <w:rPr>
          <w:rFonts w:cs="David" w:hint="cs"/>
          <w:color w:val="auto"/>
          <w:sz w:val="24"/>
          <w:szCs w:val="24"/>
          <w:rtl/>
        </w:rPr>
        <w:t xml:space="preserve">תיקים שבאחריות המשטרה אף מסתיים תוך תקופות קצרות </w:t>
      </w:r>
      <w:r w:rsidR="00C452B3">
        <w:rPr>
          <w:rFonts w:cs="David" w:hint="cs"/>
          <w:color w:val="auto"/>
          <w:sz w:val="24"/>
          <w:szCs w:val="24"/>
          <w:rtl/>
        </w:rPr>
        <w:t xml:space="preserve">משמעותית </w:t>
      </w:r>
      <w:r w:rsidR="006454D8">
        <w:rPr>
          <w:rFonts w:cs="David" w:hint="cs"/>
          <w:color w:val="auto"/>
          <w:sz w:val="24"/>
          <w:szCs w:val="24"/>
          <w:rtl/>
        </w:rPr>
        <w:t>מהקבוע בהנחיות.</w:t>
      </w:r>
      <w:r>
        <w:rPr>
          <w:rFonts w:cs="David" w:hint="cs"/>
          <w:color w:val="auto"/>
          <w:sz w:val="24"/>
          <w:szCs w:val="24"/>
          <w:rtl/>
        </w:rPr>
        <w:t xml:space="preserve"> </w:t>
      </w:r>
    </w:p>
    <w:p w:rsidR="006454D8" w:rsidRDefault="006437B0" w:rsidP="008164E4">
      <w:pPr>
        <w:pStyle w:val="a7"/>
        <w:numPr>
          <w:ilvl w:val="0"/>
          <w:numId w:val="23"/>
        </w:numPr>
        <w:spacing w:before="0" w:after="120" w:line="360" w:lineRule="auto"/>
        <w:rPr>
          <w:rFonts w:cs="David"/>
          <w:color w:val="auto"/>
          <w:sz w:val="24"/>
          <w:szCs w:val="24"/>
        </w:rPr>
      </w:pPr>
      <w:r>
        <w:rPr>
          <w:rFonts w:cs="David" w:hint="cs"/>
          <w:color w:val="auto"/>
          <w:sz w:val="24"/>
          <w:szCs w:val="24"/>
          <w:rtl/>
        </w:rPr>
        <w:t>סוג העבירות ששיעור החריגות ממשך הטיפול בהן הגבוה ביותר הוא עבירות עוון שבטיפול הפרקליטות</w:t>
      </w:r>
      <w:r w:rsidR="00C452B3">
        <w:rPr>
          <w:rFonts w:cs="David" w:hint="cs"/>
          <w:color w:val="auto"/>
          <w:sz w:val="24"/>
          <w:szCs w:val="24"/>
          <w:rtl/>
        </w:rPr>
        <w:t>,</w:t>
      </w:r>
      <w:r>
        <w:rPr>
          <w:rFonts w:cs="David" w:hint="cs"/>
          <w:color w:val="auto"/>
          <w:sz w:val="24"/>
          <w:szCs w:val="24"/>
          <w:rtl/>
        </w:rPr>
        <w:t xml:space="preserve"> אשר הוחלט להגיש בהן כתב אישום (כ-20% נכון ל-2016). </w:t>
      </w:r>
    </w:p>
    <w:p w:rsidR="002E521E" w:rsidRDefault="006437B0" w:rsidP="008164E4">
      <w:pPr>
        <w:pStyle w:val="a7"/>
        <w:numPr>
          <w:ilvl w:val="0"/>
          <w:numId w:val="23"/>
        </w:numPr>
        <w:spacing w:before="0" w:after="120" w:line="360" w:lineRule="auto"/>
        <w:rPr>
          <w:rFonts w:cs="David"/>
          <w:color w:val="auto"/>
          <w:sz w:val="24"/>
          <w:szCs w:val="24"/>
        </w:rPr>
      </w:pPr>
      <w:r>
        <w:rPr>
          <w:rFonts w:cs="David" w:hint="cs"/>
          <w:color w:val="auto"/>
          <w:sz w:val="24"/>
          <w:szCs w:val="24"/>
          <w:rtl/>
        </w:rPr>
        <w:t xml:space="preserve">ככלל, </w:t>
      </w:r>
      <w:r w:rsidR="006454D8">
        <w:rPr>
          <w:rFonts w:cs="David" w:hint="cs"/>
          <w:color w:val="auto"/>
          <w:sz w:val="24"/>
          <w:szCs w:val="24"/>
          <w:rtl/>
        </w:rPr>
        <w:t xml:space="preserve">ככל שהעבירות חמורות יותר </w:t>
      </w:r>
      <w:r>
        <w:rPr>
          <w:rFonts w:cs="David" w:hint="cs"/>
          <w:color w:val="auto"/>
          <w:sz w:val="24"/>
          <w:szCs w:val="24"/>
          <w:rtl/>
        </w:rPr>
        <w:t>יש פחות מקרים של חריגה מההנחיות</w:t>
      </w:r>
      <w:r w:rsidR="006454D8">
        <w:rPr>
          <w:rFonts w:cs="David" w:hint="cs"/>
          <w:color w:val="auto"/>
          <w:sz w:val="24"/>
          <w:szCs w:val="24"/>
          <w:rtl/>
        </w:rPr>
        <w:t xml:space="preserve">. </w:t>
      </w:r>
      <w:r>
        <w:rPr>
          <w:rFonts w:cs="David" w:hint="cs"/>
          <w:color w:val="auto"/>
          <w:sz w:val="24"/>
          <w:szCs w:val="24"/>
          <w:rtl/>
        </w:rPr>
        <w:t xml:space="preserve">כך בעבירות החמורות ביותר מדובר על 2% מהתיקים </w:t>
      </w:r>
      <w:r w:rsidR="00C452B3">
        <w:rPr>
          <w:rFonts w:cs="David" w:hint="cs"/>
          <w:color w:val="auto"/>
          <w:sz w:val="24"/>
          <w:szCs w:val="24"/>
          <w:rtl/>
        </w:rPr>
        <w:t xml:space="preserve">בלבד שהוגש בהם כתב אישום בחריגה </w:t>
      </w:r>
      <w:r>
        <w:rPr>
          <w:rFonts w:cs="David" w:hint="cs"/>
          <w:color w:val="auto"/>
          <w:sz w:val="24"/>
          <w:szCs w:val="24"/>
          <w:rtl/>
        </w:rPr>
        <w:t>מהתקופות</w:t>
      </w:r>
      <w:r w:rsidR="00C452B3">
        <w:rPr>
          <w:rFonts w:cs="David" w:hint="cs"/>
          <w:color w:val="auto"/>
          <w:sz w:val="24"/>
          <w:szCs w:val="24"/>
          <w:rtl/>
        </w:rPr>
        <w:t xml:space="preserve"> שבהנחיות</w:t>
      </w:r>
      <w:r>
        <w:rPr>
          <w:rFonts w:cs="David" w:hint="cs"/>
          <w:color w:val="auto"/>
          <w:sz w:val="24"/>
          <w:szCs w:val="24"/>
          <w:rtl/>
        </w:rPr>
        <w:t>.</w:t>
      </w:r>
      <w:r w:rsidR="006454D8">
        <w:rPr>
          <w:rFonts w:cs="David" w:hint="cs"/>
          <w:color w:val="auto"/>
          <w:sz w:val="24"/>
          <w:szCs w:val="24"/>
          <w:rtl/>
        </w:rPr>
        <w:t xml:space="preserve">  </w:t>
      </w:r>
    </w:p>
    <w:p w:rsidR="002E521E" w:rsidRPr="002E521E" w:rsidRDefault="002E521E" w:rsidP="008164E4">
      <w:pPr>
        <w:pStyle w:val="a7"/>
        <w:numPr>
          <w:ilvl w:val="0"/>
          <w:numId w:val="23"/>
        </w:numPr>
        <w:spacing w:before="0" w:after="120" w:line="360" w:lineRule="auto"/>
        <w:rPr>
          <w:rFonts w:cs="David"/>
          <w:color w:val="auto"/>
          <w:sz w:val="24"/>
          <w:szCs w:val="24"/>
        </w:rPr>
      </w:pPr>
      <w:r>
        <w:rPr>
          <w:rFonts w:cs="David" w:hint="cs"/>
          <w:color w:val="auto"/>
          <w:sz w:val="24"/>
          <w:szCs w:val="24"/>
          <w:rtl/>
        </w:rPr>
        <w:t xml:space="preserve">בשנים 2014-2015 </w:t>
      </w:r>
      <w:r w:rsidRPr="002E521E">
        <w:rPr>
          <w:rFonts w:cs="David" w:hint="cs"/>
          <w:color w:val="auto"/>
          <w:sz w:val="24"/>
          <w:szCs w:val="24"/>
          <w:rtl/>
        </w:rPr>
        <w:t xml:space="preserve">חלה ירידה משמעותית </w:t>
      </w:r>
      <w:r>
        <w:rPr>
          <w:rFonts w:cs="David" w:hint="cs"/>
          <w:color w:val="auto"/>
          <w:sz w:val="24"/>
          <w:szCs w:val="24"/>
          <w:rtl/>
        </w:rPr>
        <w:t xml:space="preserve">במספר התיקים שנדרשה בהם ארכה נוספת לטיפול ע"י פרקליט מחוז או ע"י היועץ המשפטי לממשלה. לא הועברו נתונים מפורטים מספיק כדי לנתח את המקרים ולהסיק מהם מסקנות נוספות. </w:t>
      </w:r>
    </w:p>
    <w:p w:rsidR="006437B0" w:rsidRDefault="002E521E" w:rsidP="008164E4">
      <w:pPr>
        <w:pStyle w:val="a7"/>
        <w:numPr>
          <w:ilvl w:val="0"/>
          <w:numId w:val="23"/>
        </w:numPr>
        <w:spacing w:before="0" w:after="120" w:line="360" w:lineRule="auto"/>
        <w:rPr>
          <w:rFonts w:cs="David"/>
          <w:color w:val="auto"/>
          <w:sz w:val="24"/>
          <w:szCs w:val="24"/>
        </w:rPr>
      </w:pPr>
      <w:r>
        <w:rPr>
          <w:rFonts w:cs="David" w:hint="cs"/>
          <w:color w:val="auto"/>
          <w:sz w:val="24"/>
          <w:szCs w:val="24"/>
          <w:rtl/>
        </w:rPr>
        <w:t xml:space="preserve">במשטרה </w:t>
      </w:r>
      <w:r w:rsidR="006437B0">
        <w:rPr>
          <w:rFonts w:cs="David" w:hint="cs"/>
          <w:color w:val="auto"/>
          <w:sz w:val="24"/>
          <w:szCs w:val="24"/>
          <w:rtl/>
        </w:rPr>
        <w:t>לא מתקיימת בקרה שיטתית ו</w:t>
      </w:r>
      <w:r>
        <w:rPr>
          <w:rFonts w:cs="David" w:hint="cs"/>
          <w:color w:val="auto"/>
          <w:sz w:val="24"/>
          <w:szCs w:val="24"/>
          <w:rtl/>
        </w:rPr>
        <w:t>מסודר</w:t>
      </w:r>
      <w:r w:rsidR="006437B0">
        <w:rPr>
          <w:rFonts w:cs="David" w:hint="cs"/>
          <w:color w:val="auto"/>
          <w:sz w:val="24"/>
          <w:szCs w:val="24"/>
          <w:rtl/>
        </w:rPr>
        <w:t xml:space="preserve">ת על </w:t>
      </w:r>
      <w:r>
        <w:rPr>
          <w:rFonts w:cs="David" w:hint="cs"/>
          <w:color w:val="auto"/>
          <w:sz w:val="24"/>
          <w:szCs w:val="24"/>
          <w:rtl/>
        </w:rPr>
        <w:t>ה</w:t>
      </w:r>
      <w:r w:rsidR="006437B0">
        <w:rPr>
          <w:rFonts w:cs="David" w:hint="cs"/>
          <w:color w:val="auto"/>
          <w:sz w:val="24"/>
          <w:szCs w:val="24"/>
          <w:rtl/>
        </w:rPr>
        <w:t>עמידה בנוהל</w:t>
      </w:r>
      <w:r>
        <w:rPr>
          <w:rFonts w:cs="David" w:hint="cs"/>
          <w:color w:val="auto"/>
          <w:sz w:val="24"/>
          <w:szCs w:val="24"/>
          <w:rtl/>
        </w:rPr>
        <w:t xml:space="preserve"> (למעט בקרה ע"י הממונים בתיקים פרטניים) ולא הועברו נתונים לגבי מספר ההיתרים שניתנו להארכת התקופה</w:t>
      </w:r>
      <w:r w:rsidR="006437B0">
        <w:rPr>
          <w:rFonts w:cs="David" w:hint="cs"/>
          <w:color w:val="auto"/>
          <w:sz w:val="24"/>
          <w:szCs w:val="24"/>
          <w:rtl/>
        </w:rPr>
        <w:t xml:space="preserve">. </w:t>
      </w:r>
    </w:p>
    <w:p w:rsidR="00B20E94" w:rsidRPr="00B20E94" w:rsidRDefault="00B20E94" w:rsidP="00B20E94">
      <w:pPr>
        <w:spacing w:before="0" w:after="120" w:line="360" w:lineRule="auto"/>
        <w:ind w:left="360" w:firstLine="0"/>
        <w:rPr>
          <w:rFonts w:cs="David"/>
          <w:color w:val="auto"/>
          <w:sz w:val="20"/>
          <w:szCs w:val="20"/>
          <w:rtl/>
        </w:rPr>
      </w:pPr>
      <w:r w:rsidRPr="00B20E94">
        <w:rPr>
          <w:rFonts w:cs="David" w:hint="cs"/>
          <w:color w:val="auto"/>
          <w:sz w:val="20"/>
          <w:szCs w:val="20"/>
          <w:rtl/>
        </w:rPr>
        <w:t xml:space="preserve">* </w:t>
      </w:r>
      <w:r>
        <w:rPr>
          <w:rFonts w:cs="David" w:hint="cs"/>
          <w:color w:val="auto"/>
          <w:sz w:val="20"/>
          <w:szCs w:val="20"/>
          <w:rtl/>
        </w:rPr>
        <w:t>ל</w:t>
      </w:r>
      <w:r w:rsidRPr="00B20E94">
        <w:rPr>
          <w:rFonts w:cs="David" w:hint="cs"/>
          <w:color w:val="auto"/>
          <w:sz w:val="20"/>
          <w:szCs w:val="20"/>
          <w:rtl/>
        </w:rPr>
        <w:t xml:space="preserve">פירוט נוסף </w:t>
      </w:r>
      <w:r>
        <w:rPr>
          <w:rFonts w:cs="David" w:hint="cs"/>
          <w:color w:val="auto"/>
          <w:sz w:val="20"/>
          <w:szCs w:val="20"/>
          <w:rtl/>
        </w:rPr>
        <w:t xml:space="preserve">ראו </w:t>
      </w:r>
      <w:r w:rsidRPr="00B20E94">
        <w:rPr>
          <w:rFonts w:cs="David" w:hint="cs"/>
          <w:color w:val="auto"/>
          <w:sz w:val="20"/>
          <w:szCs w:val="20"/>
          <w:rtl/>
        </w:rPr>
        <w:t xml:space="preserve">מסמך </w:t>
      </w:r>
      <w:r>
        <w:rPr>
          <w:rFonts w:cs="David" w:hint="cs"/>
          <w:color w:val="auto"/>
          <w:sz w:val="20"/>
          <w:szCs w:val="20"/>
          <w:rtl/>
        </w:rPr>
        <w:t>מרכז המחקר והמידע של הכנסת</w:t>
      </w:r>
      <w:r w:rsidRPr="00B20E94">
        <w:rPr>
          <w:rFonts w:cs="David" w:hint="cs"/>
          <w:color w:val="auto"/>
          <w:sz w:val="20"/>
          <w:szCs w:val="20"/>
          <w:rtl/>
        </w:rPr>
        <w:t xml:space="preserve">. </w:t>
      </w:r>
    </w:p>
    <w:p w:rsidR="00677C16" w:rsidRPr="0019268D" w:rsidRDefault="00677C16" w:rsidP="005A322F">
      <w:pPr>
        <w:spacing w:after="120" w:line="360" w:lineRule="auto"/>
        <w:ind w:firstLine="0"/>
        <w:rPr>
          <w:rFonts w:cs="David"/>
          <w:b/>
          <w:bCs/>
          <w:color w:val="auto"/>
          <w:sz w:val="24"/>
          <w:szCs w:val="24"/>
          <w:u w:val="single"/>
          <w:rtl/>
        </w:rPr>
      </w:pPr>
      <w:r>
        <w:rPr>
          <w:rFonts w:cs="David" w:hint="cs"/>
          <w:b/>
          <w:bCs/>
          <w:color w:val="auto"/>
          <w:sz w:val="24"/>
          <w:szCs w:val="24"/>
          <w:u w:val="single"/>
          <w:rtl/>
        </w:rPr>
        <w:t xml:space="preserve">משפט משווה </w:t>
      </w:r>
    </w:p>
    <w:p w:rsidR="00704D3C" w:rsidRDefault="00704D3C" w:rsidP="00704D3C">
      <w:pPr>
        <w:spacing w:before="0" w:after="120" w:line="360" w:lineRule="auto"/>
        <w:ind w:firstLine="0"/>
        <w:rPr>
          <w:rFonts w:cs="David"/>
          <w:color w:val="auto"/>
          <w:sz w:val="24"/>
          <w:szCs w:val="24"/>
          <w:rtl/>
        </w:rPr>
      </w:pPr>
      <w:r>
        <w:rPr>
          <w:rFonts w:cs="David" w:hint="cs"/>
          <w:color w:val="auto"/>
          <w:sz w:val="24"/>
          <w:szCs w:val="24"/>
          <w:rtl/>
        </w:rPr>
        <w:t xml:space="preserve">במרץ 2016 הוכן ע"י תחום חקיקה ומחקר משפטי של הכנסת מסמך בעניין "הגבלות על משך זמן החקירה וקבלת החלטה בדבר העמדה לדין" הכולל מידע על הסדרי חקיקה בעניין הגבלת משך הליכי החקירה והעמדה לדין במדינות שונות. </w:t>
      </w:r>
    </w:p>
    <w:p w:rsidR="005F0B54" w:rsidRDefault="00704D3C" w:rsidP="005F0B54">
      <w:pPr>
        <w:spacing w:before="0" w:after="120" w:line="360" w:lineRule="auto"/>
        <w:ind w:firstLine="0"/>
        <w:rPr>
          <w:rFonts w:cs="David"/>
          <w:color w:val="auto"/>
          <w:sz w:val="24"/>
          <w:szCs w:val="24"/>
          <w:rtl/>
        </w:rPr>
      </w:pPr>
      <w:r>
        <w:rPr>
          <w:rFonts w:cs="David" w:hint="cs"/>
          <w:color w:val="auto"/>
          <w:sz w:val="24"/>
          <w:szCs w:val="24"/>
          <w:rtl/>
        </w:rPr>
        <w:t>מן המסמך עול</w:t>
      </w:r>
      <w:r w:rsidR="005F0B54">
        <w:rPr>
          <w:rFonts w:cs="David" w:hint="cs"/>
          <w:color w:val="auto"/>
          <w:sz w:val="24"/>
          <w:szCs w:val="24"/>
          <w:rtl/>
        </w:rPr>
        <w:t xml:space="preserve">ות מסקנות אלה לגבי קביעת הוראות בחקיקה בנושא האמור: </w:t>
      </w:r>
    </w:p>
    <w:p w:rsidR="005F0B54" w:rsidRPr="005F0B54" w:rsidRDefault="00E97425" w:rsidP="008164E4">
      <w:pPr>
        <w:pStyle w:val="a7"/>
        <w:numPr>
          <w:ilvl w:val="0"/>
          <w:numId w:val="25"/>
        </w:numPr>
        <w:spacing w:before="0" w:after="120" w:line="360" w:lineRule="auto"/>
        <w:rPr>
          <w:rFonts w:cs="David"/>
          <w:color w:val="auto"/>
          <w:sz w:val="24"/>
          <w:szCs w:val="24"/>
          <w:rtl/>
        </w:rPr>
      </w:pPr>
      <w:r w:rsidRPr="005F0B54">
        <w:rPr>
          <w:rFonts w:cs="David" w:hint="cs"/>
          <w:color w:val="auto"/>
          <w:sz w:val="24"/>
          <w:szCs w:val="24"/>
          <w:rtl/>
        </w:rPr>
        <w:t>ב</w:t>
      </w:r>
      <w:r w:rsidR="00584BA0" w:rsidRPr="005F0B54">
        <w:rPr>
          <w:rFonts w:cs="David" w:hint="cs"/>
          <w:color w:val="auto"/>
          <w:sz w:val="24"/>
          <w:szCs w:val="24"/>
          <w:rtl/>
        </w:rPr>
        <w:t xml:space="preserve">מרבית </w:t>
      </w:r>
      <w:r w:rsidRPr="005F0B54">
        <w:rPr>
          <w:rFonts w:cs="David" w:hint="cs"/>
          <w:color w:val="auto"/>
          <w:sz w:val="24"/>
          <w:szCs w:val="24"/>
          <w:rtl/>
        </w:rPr>
        <w:t xml:space="preserve">המדינות אין קביעה מפורשת בחקיקה </w:t>
      </w:r>
      <w:r w:rsidR="00584BA0" w:rsidRPr="005F0B54">
        <w:rPr>
          <w:rFonts w:cs="David" w:hint="cs"/>
          <w:color w:val="auto"/>
          <w:sz w:val="24"/>
          <w:szCs w:val="24"/>
          <w:rtl/>
        </w:rPr>
        <w:t xml:space="preserve">של מגבלות </w:t>
      </w:r>
      <w:r w:rsidR="0017725C" w:rsidRPr="005F0B54">
        <w:rPr>
          <w:rFonts w:cs="David" w:hint="cs"/>
          <w:color w:val="auto"/>
          <w:sz w:val="24"/>
          <w:szCs w:val="24"/>
          <w:rtl/>
        </w:rPr>
        <w:t xml:space="preserve">זמן קונקרטיות </w:t>
      </w:r>
      <w:r w:rsidR="00584BA0" w:rsidRPr="005F0B54">
        <w:rPr>
          <w:rFonts w:cs="David" w:hint="cs"/>
          <w:color w:val="auto"/>
          <w:sz w:val="24"/>
          <w:szCs w:val="24"/>
          <w:rtl/>
        </w:rPr>
        <w:t xml:space="preserve">על </w:t>
      </w:r>
      <w:r w:rsidRPr="005F0B54">
        <w:rPr>
          <w:rFonts w:cs="David" w:hint="cs"/>
          <w:color w:val="auto"/>
          <w:sz w:val="24"/>
          <w:szCs w:val="24"/>
          <w:rtl/>
        </w:rPr>
        <w:t>ניהול חקירה וטיפול התביעה עד להגשת כתב אישום</w:t>
      </w:r>
      <w:r w:rsidR="0017725C" w:rsidRPr="005F0B54">
        <w:rPr>
          <w:rFonts w:cs="David" w:hint="cs"/>
          <w:color w:val="auto"/>
          <w:sz w:val="24"/>
          <w:szCs w:val="24"/>
          <w:rtl/>
        </w:rPr>
        <w:t xml:space="preserve"> (</w:t>
      </w:r>
      <w:r w:rsidR="00704D3C" w:rsidRPr="005F0B54">
        <w:rPr>
          <w:rFonts w:cs="David" w:hint="cs"/>
          <w:color w:val="auto"/>
          <w:sz w:val="24"/>
          <w:szCs w:val="24"/>
          <w:rtl/>
        </w:rPr>
        <w:t xml:space="preserve">בריטניה, קנדה </w:t>
      </w:r>
      <w:r w:rsidR="00704D3C" w:rsidRPr="005F0B54">
        <w:rPr>
          <w:rFonts w:cs="David"/>
          <w:color w:val="auto"/>
          <w:sz w:val="24"/>
          <w:szCs w:val="24"/>
          <w:rtl/>
        </w:rPr>
        <w:t>–</w:t>
      </w:r>
      <w:r w:rsidR="00704D3C" w:rsidRPr="005F0B54">
        <w:rPr>
          <w:rFonts w:cs="David" w:hint="cs"/>
          <w:color w:val="auto"/>
          <w:sz w:val="24"/>
          <w:szCs w:val="24"/>
          <w:rtl/>
        </w:rPr>
        <w:t xml:space="preserve"> חקיקה פדרלית, בלגיה, שבדיה, הולנד, שוויץ, נורבגיה, פינלנד)</w:t>
      </w:r>
      <w:r w:rsidRPr="005F0B54">
        <w:rPr>
          <w:rFonts w:cs="David" w:hint="cs"/>
          <w:color w:val="auto"/>
          <w:sz w:val="24"/>
          <w:szCs w:val="24"/>
          <w:rtl/>
        </w:rPr>
        <w:t xml:space="preserve">. </w:t>
      </w:r>
    </w:p>
    <w:p w:rsidR="00704D3C" w:rsidRPr="005F0B54" w:rsidRDefault="00584BA0" w:rsidP="008164E4">
      <w:pPr>
        <w:pStyle w:val="a7"/>
        <w:numPr>
          <w:ilvl w:val="0"/>
          <w:numId w:val="25"/>
        </w:numPr>
        <w:spacing w:before="0" w:after="120" w:line="360" w:lineRule="auto"/>
        <w:rPr>
          <w:rFonts w:cs="David"/>
          <w:color w:val="auto"/>
          <w:sz w:val="24"/>
          <w:szCs w:val="24"/>
          <w:rtl/>
        </w:rPr>
      </w:pPr>
      <w:r w:rsidRPr="005F0B54">
        <w:rPr>
          <w:rFonts w:cs="David" w:hint="cs"/>
          <w:color w:val="auto"/>
          <w:sz w:val="24"/>
          <w:szCs w:val="24"/>
          <w:rtl/>
        </w:rPr>
        <w:t xml:space="preserve">כאשר </w:t>
      </w:r>
      <w:r w:rsidR="00E97425" w:rsidRPr="005F0B54">
        <w:rPr>
          <w:rFonts w:cs="David" w:hint="cs"/>
          <w:color w:val="auto"/>
          <w:sz w:val="24"/>
          <w:szCs w:val="24"/>
          <w:rtl/>
        </w:rPr>
        <w:t xml:space="preserve">יש </w:t>
      </w:r>
      <w:r w:rsidRPr="005F0B54">
        <w:rPr>
          <w:rFonts w:cs="David" w:hint="cs"/>
          <w:color w:val="auto"/>
          <w:sz w:val="24"/>
          <w:szCs w:val="24"/>
          <w:rtl/>
        </w:rPr>
        <w:t xml:space="preserve">הוראה </w:t>
      </w:r>
      <w:r w:rsidR="00E97425" w:rsidRPr="005F0B54">
        <w:rPr>
          <w:rFonts w:cs="David" w:hint="cs"/>
          <w:color w:val="auto"/>
          <w:sz w:val="24"/>
          <w:szCs w:val="24"/>
          <w:rtl/>
        </w:rPr>
        <w:t xml:space="preserve">בחקיקה היא בד"כ </w:t>
      </w:r>
      <w:r w:rsidRPr="005F0B54">
        <w:rPr>
          <w:rFonts w:cs="David" w:hint="cs"/>
          <w:color w:val="auto"/>
          <w:sz w:val="24"/>
          <w:szCs w:val="24"/>
          <w:rtl/>
        </w:rPr>
        <w:t xml:space="preserve">חובה </w:t>
      </w:r>
      <w:r w:rsidR="00E97425" w:rsidRPr="005F0B54">
        <w:rPr>
          <w:rFonts w:cs="David" w:hint="cs"/>
          <w:color w:val="auto"/>
          <w:sz w:val="24"/>
          <w:szCs w:val="24"/>
          <w:rtl/>
        </w:rPr>
        <w:t xml:space="preserve">כללית </w:t>
      </w:r>
      <w:r w:rsidRPr="005F0B54">
        <w:rPr>
          <w:rFonts w:cs="David" w:hint="cs"/>
          <w:color w:val="auto"/>
          <w:sz w:val="24"/>
          <w:szCs w:val="24"/>
          <w:rtl/>
        </w:rPr>
        <w:t xml:space="preserve">לסיים את </w:t>
      </w:r>
      <w:r w:rsidR="00E97425" w:rsidRPr="005F0B54">
        <w:rPr>
          <w:rFonts w:cs="David" w:hint="cs"/>
          <w:color w:val="auto"/>
          <w:sz w:val="24"/>
          <w:szCs w:val="24"/>
          <w:rtl/>
        </w:rPr>
        <w:t>ההליכים תוך זמן סביר</w:t>
      </w:r>
      <w:r w:rsidR="00704D3C" w:rsidRPr="005F0B54">
        <w:rPr>
          <w:rFonts w:cs="David" w:hint="cs"/>
          <w:color w:val="auto"/>
          <w:sz w:val="24"/>
          <w:szCs w:val="24"/>
          <w:rtl/>
        </w:rPr>
        <w:t xml:space="preserve"> או לזרז את ההליכים ככל הניתן</w:t>
      </w:r>
      <w:r w:rsidRPr="005F0B54">
        <w:rPr>
          <w:rFonts w:cs="David" w:hint="cs"/>
          <w:color w:val="auto"/>
          <w:sz w:val="24"/>
          <w:szCs w:val="24"/>
          <w:rtl/>
        </w:rPr>
        <w:t xml:space="preserve"> </w:t>
      </w:r>
      <w:r w:rsidR="00A048CF">
        <w:rPr>
          <w:rFonts w:cs="David" w:hint="cs"/>
          <w:color w:val="auto"/>
          <w:sz w:val="24"/>
          <w:szCs w:val="24"/>
          <w:rtl/>
        </w:rPr>
        <w:t xml:space="preserve">בלא קביעה של תקופות זמן קונקרטיות </w:t>
      </w:r>
      <w:r w:rsidRPr="005F0B54">
        <w:rPr>
          <w:rFonts w:cs="David" w:hint="cs"/>
          <w:color w:val="auto"/>
          <w:sz w:val="24"/>
          <w:szCs w:val="24"/>
          <w:rtl/>
        </w:rPr>
        <w:t>(</w:t>
      </w:r>
      <w:r w:rsidR="0017725C" w:rsidRPr="005F0B54">
        <w:rPr>
          <w:rFonts w:cs="David" w:hint="cs"/>
          <w:color w:val="auto"/>
          <w:sz w:val="24"/>
          <w:szCs w:val="24"/>
          <w:rtl/>
        </w:rPr>
        <w:t xml:space="preserve">דנמרק, הולנד, </w:t>
      </w:r>
      <w:r w:rsidR="009611BB">
        <w:rPr>
          <w:rFonts w:cs="David" w:hint="cs"/>
          <w:color w:val="auto"/>
          <w:sz w:val="24"/>
          <w:szCs w:val="24"/>
          <w:rtl/>
        </w:rPr>
        <w:t xml:space="preserve">צרפת, </w:t>
      </w:r>
      <w:r w:rsidR="0017725C" w:rsidRPr="005F0B54">
        <w:rPr>
          <w:rFonts w:cs="David" w:hint="cs"/>
          <w:color w:val="auto"/>
          <w:sz w:val="24"/>
          <w:szCs w:val="24"/>
          <w:rtl/>
        </w:rPr>
        <w:t>נורווגיה, שוודיה</w:t>
      </w:r>
      <w:r w:rsidRPr="005F0B54">
        <w:rPr>
          <w:rFonts w:cs="David" w:hint="cs"/>
          <w:color w:val="auto"/>
          <w:sz w:val="24"/>
          <w:szCs w:val="24"/>
          <w:rtl/>
        </w:rPr>
        <w:t>)</w:t>
      </w:r>
      <w:r w:rsidR="00E97425" w:rsidRPr="005F0B54">
        <w:rPr>
          <w:rFonts w:cs="David" w:hint="cs"/>
          <w:color w:val="auto"/>
          <w:sz w:val="24"/>
          <w:szCs w:val="24"/>
          <w:rtl/>
        </w:rPr>
        <w:t>.</w:t>
      </w:r>
      <w:r w:rsidR="00704D3C" w:rsidRPr="005F0B54">
        <w:rPr>
          <w:rFonts w:cs="David" w:hint="cs"/>
          <w:color w:val="auto"/>
          <w:sz w:val="24"/>
          <w:szCs w:val="24"/>
          <w:rtl/>
        </w:rPr>
        <w:t xml:space="preserve"> זאת, ברוח האמנה האירופית לזכויות אדם הקובעת בסעיף 6 כי כל אדם זכאי למשפט סביר שיתקיים תוך פרק זמן סביר. ב"ד האירופי לזכויות אדם פירש שמשך ההליך הפלילי כולו צריך להיות סביר לרבות הליכים קדם משפטיים. </w:t>
      </w:r>
    </w:p>
    <w:p w:rsidR="00584BA0" w:rsidRDefault="005F0B54" w:rsidP="0089234D">
      <w:pPr>
        <w:pStyle w:val="a7"/>
        <w:numPr>
          <w:ilvl w:val="0"/>
          <w:numId w:val="25"/>
        </w:numPr>
        <w:spacing w:before="0" w:after="120" w:line="360" w:lineRule="auto"/>
        <w:rPr>
          <w:rFonts w:cs="David"/>
          <w:color w:val="auto"/>
          <w:sz w:val="24"/>
          <w:szCs w:val="24"/>
        </w:rPr>
      </w:pPr>
      <w:r>
        <w:rPr>
          <w:rFonts w:cs="David" w:hint="cs"/>
          <w:color w:val="auto"/>
          <w:sz w:val="24"/>
          <w:szCs w:val="24"/>
          <w:rtl/>
        </w:rPr>
        <w:t xml:space="preserve">נמצאו </w:t>
      </w:r>
      <w:r w:rsidR="00704D3C" w:rsidRPr="005F0B54">
        <w:rPr>
          <w:rFonts w:cs="David" w:hint="cs"/>
          <w:color w:val="auto"/>
          <w:sz w:val="24"/>
          <w:szCs w:val="24"/>
          <w:rtl/>
        </w:rPr>
        <w:t>מס' מדינות ש</w:t>
      </w:r>
      <w:r w:rsidR="00A05C42" w:rsidRPr="005F0B54">
        <w:rPr>
          <w:rFonts w:cs="David" w:hint="cs"/>
          <w:color w:val="auto"/>
          <w:sz w:val="24"/>
          <w:szCs w:val="24"/>
          <w:rtl/>
        </w:rPr>
        <w:t>בהן נ</w:t>
      </w:r>
      <w:r w:rsidR="00704D3C" w:rsidRPr="005F0B54">
        <w:rPr>
          <w:rFonts w:cs="David" w:hint="cs"/>
          <w:color w:val="auto"/>
          <w:sz w:val="24"/>
          <w:szCs w:val="24"/>
          <w:rtl/>
        </w:rPr>
        <w:t xml:space="preserve">קבעו </w:t>
      </w:r>
      <w:r w:rsidR="00A05C42" w:rsidRPr="005F0B54">
        <w:rPr>
          <w:rFonts w:cs="David" w:hint="cs"/>
          <w:color w:val="auto"/>
          <w:sz w:val="24"/>
          <w:szCs w:val="24"/>
          <w:rtl/>
        </w:rPr>
        <w:t xml:space="preserve">מגבלות </w:t>
      </w:r>
      <w:r w:rsidR="00704D3C" w:rsidRPr="005F0B54">
        <w:rPr>
          <w:rFonts w:cs="David" w:hint="cs"/>
          <w:color w:val="auto"/>
          <w:sz w:val="24"/>
          <w:szCs w:val="24"/>
          <w:rtl/>
        </w:rPr>
        <w:t>קונקרטיות בחקיקה ראשית</w:t>
      </w:r>
      <w:r w:rsidR="009611BB">
        <w:rPr>
          <w:rFonts w:cs="David" w:hint="cs"/>
          <w:color w:val="auto"/>
          <w:sz w:val="24"/>
          <w:szCs w:val="24"/>
          <w:rtl/>
        </w:rPr>
        <w:t xml:space="preserve">, </w:t>
      </w:r>
      <w:r w:rsidR="0089234D">
        <w:rPr>
          <w:rFonts w:cs="David" w:hint="cs"/>
          <w:color w:val="auto"/>
          <w:sz w:val="24"/>
          <w:szCs w:val="24"/>
          <w:rtl/>
        </w:rPr>
        <w:t>ל</w:t>
      </w:r>
      <w:r w:rsidR="009611BB">
        <w:rPr>
          <w:rFonts w:cs="David" w:hint="cs"/>
          <w:color w:val="auto"/>
          <w:sz w:val="24"/>
          <w:szCs w:val="24"/>
          <w:rtl/>
        </w:rPr>
        <w:t xml:space="preserve">רוב מדובר על מגבלות שחלות רק </w:t>
      </w:r>
      <w:r w:rsidR="0089234D">
        <w:rPr>
          <w:rFonts w:cs="David" w:hint="cs"/>
          <w:color w:val="auto"/>
          <w:sz w:val="24"/>
          <w:szCs w:val="24"/>
          <w:rtl/>
        </w:rPr>
        <w:t>על שופט-</w:t>
      </w:r>
      <w:r w:rsidR="009611BB">
        <w:rPr>
          <w:rFonts w:cs="David" w:hint="cs"/>
          <w:color w:val="auto"/>
          <w:sz w:val="24"/>
          <w:szCs w:val="24"/>
          <w:rtl/>
        </w:rPr>
        <w:t>חוקר ולא על רשויות החקירה והתביעה, עם אפשרות להאריך את התקופה בהחלטה שיפוטית</w:t>
      </w:r>
      <w:r w:rsidR="0089234D">
        <w:rPr>
          <w:rFonts w:cs="David" w:hint="cs"/>
          <w:color w:val="auto"/>
          <w:sz w:val="24"/>
          <w:szCs w:val="24"/>
          <w:rtl/>
        </w:rPr>
        <w:t xml:space="preserve">. </w:t>
      </w:r>
      <w:r w:rsidR="0089234D" w:rsidRPr="0089234D">
        <w:rPr>
          <w:rFonts w:cs="David" w:hint="cs"/>
          <w:b/>
          <w:bCs/>
          <w:color w:val="auto"/>
          <w:sz w:val="24"/>
          <w:szCs w:val="24"/>
          <w:rtl/>
        </w:rPr>
        <w:t>בצרפת</w:t>
      </w:r>
      <w:r w:rsidR="0089234D">
        <w:rPr>
          <w:rFonts w:cs="David" w:hint="cs"/>
          <w:color w:val="auto"/>
          <w:sz w:val="24"/>
          <w:szCs w:val="24"/>
          <w:rtl/>
        </w:rPr>
        <w:t xml:space="preserve"> לאחר </w:t>
      </w:r>
      <w:r w:rsidR="0089234D" w:rsidRPr="0089234D">
        <w:rPr>
          <w:rFonts w:cs="David" w:hint="cs"/>
          <w:color w:val="auto"/>
          <w:sz w:val="24"/>
          <w:szCs w:val="24"/>
          <w:u w:val="single"/>
          <w:rtl/>
        </w:rPr>
        <w:t>שנתיים</w:t>
      </w:r>
      <w:r w:rsidR="0089234D">
        <w:rPr>
          <w:rFonts w:cs="David" w:hint="cs"/>
          <w:color w:val="auto"/>
          <w:sz w:val="24"/>
          <w:szCs w:val="24"/>
          <w:rtl/>
        </w:rPr>
        <w:t xml:space="preserve"> שופט-חוקר נדרש לנמק את התארכות החקירה בפני ערכאה גבוהה יותר ועליו לעשות כן אחת ל-6 חודשים עד לסיום החקירה</w:t>
      </w:r>
      <w:r w:rsidR="00704D3C" w:rsidRPr="005F0B54">
        <w:rPr>
          <w:rFonts w:cs="David" w:hint="cs"/>
          <w:color w:val="auto"/>
          <w:sz w:val="24"/>
          <w:szCs w:val="24"/>
          <w:rtl/>
        </w:rPr>
        <w:t>.</w:t>
      </w:r>
      <w:r w:rsidR="0089234D">
        <w:rPr>
          <w:rFonts w:cs="David" w:hint="cs"/>
          <w:color w:val="auto"/>
          <w:sz w:val="24"/>
          <w:szCs w:val="24"/>
          <w:rtl/>
        </w:rPr>
        <w:t xml:space="preserve"> </w:t>
      </w:r>
      <w:r w:rsidR="0089234D" w:rsidRPr="0089234D">
        <w:rPr>
          <w:rFonts w:cs="David" w:hint="cs"/>
          <w:b/>
          <w:bCs/>
          <w:color w:val="auto"/>
          <w:sz w:val="24"/>
          <w:szCs w:val="24"/>
          <w:rtl/>
        </w:rPr>
        <w:t xml:space="preserve">בבלגיה </w:t>
      </w:r>
      <w:r w:rsidR="0089234D">
        <w:rPr>
          <w:rFonts w:cs="David" w:hint="cs"/>
          <w:color w:val="auto"/>
          <w:sz w:val="24"/>
          <w:szCs w:val="24"/>
          <w:rtl/>
        </w:rPr>
        <w:t xml:space="preserve">אם שופט-חוקר לא סיים מלאכתו תוך </w:t>
      </w:r>
      <w:r w:rsidR="0089234D" w:rsidRPr="0089234D">
        <w:rPr>
          <w:rFonts w:cs="David" w:hint="cs"/>
          <w:color w:val="auto"/>
          <w:sz w:val="24"/>
          <w:szCs w:val="24"/>
          <w:u w:val="single"/>
          <w:rtl/>
        </w:rPr>
        <w:t>שנה</w:t>
      </w:r>
      <w:r w:rsidR="0089234D">
        <w:rPr>
          <w:rFonts w:cs="David" w:hint="cs"/>
          <w:color w:val="auto"/>
          <w:sz w:val="24"/>
          <w:szCs w:val="24"/>
          <w:rtl/>
        </w:rPr>
        <w:t xml:space="preserve"> החשוד רשאי לפנות לערכאה גבוהה יותר לבחינת סבירות התקופה. </w:t>
      </w:r>
      <w:r w:rsidR="0089234D" w:rsidRPr="0089234D">
        <w:rPr>
          <w:rFonts w:cs="David" w:hint="cs"/>
          <w:b/>
          <w:bCs/>
          <w:color w:val="auto"/>
          <w:sz w:val="24"/>
          <w:szCs w:val="24"/>
          <w:rtl/>
        </w:rPr>
        <w:t>בספרד</w:t>
      </w:r>
      <w:r w:rsidR="0089234D">
        <w:rPr>
          <w:rFonts w:cs="David" w:hint="cs"/>
          <w:color w:val="auto"/>
          <w:sz w:val="24"/>
          <w:szCs w:val="24"/>
          <w:rtl/>
        </w:rPr>
        <w:t xml:space="preserve"> חקירה "פשוטה" מוגבלת ל</w:t>
      </w:r>
      <w:r w:rsidR="0089234D" w:rsidRPr="00771A78">
        <w:rPr>
          <w:rFonts w:cs="David" w:hint="cs"/>
          <w:color w:val="auto"/>
          <w:sz w:val="24"/>
          <w:szCs w:val="24"/>
          <w:u w:val="single"/>
          <w:rtl/>
        </w:rPr>
        <w:t>-6 חודשים</w:t>
      </w:r>
      <w:r w:rsidR="0089234D">
        <w:rPr>
          <w:rFonts w:cs="David" w:hint="cs"/>
          <w:color w:val="auto"/>
          <w:sz w:val="24"/>
          <w:szCs w:val="24"/>
          <w:rtl/>
        </w:rPr>
        <w:t xml:space="preserve"> ואילו חקירה "מורכבת" (ארגוני פשיעה וטרור, ריבוי חשודים או נפגעים, פעולות חקירה בחו"ל, דורשת מומחיות מיוחדת וכיו"ב) מוגבלת ל</w:t>
      </w:r>
      <w:r w:rsidR="0089234D" w:rsidRPr="00771A78">
        <w:rPr>
          <w:rFonts w:cs="David" w:hint="cs"/>
          <w:color w:val="auto"/>
          <w:sz w:val="24"/>
          <w:szCs w:val="24"/>
          <w:u w:val="single"/>
          <w:rtl/>
        </w:rPr>
        <w:t>-18 חודשים</w:t>
      </w:r>
      <w:r w:rsidR="0089234D">
        <w:rPr>
          <w:rFonts w:cs="David" w:hint="cs"/>
          <w:color w:val="auto"/>
          <w:sz w:val="24"/>
          <w:szCs w:val="24"/>
          <w:rtl/>
        </w:rPr>
        <w:t xml:space="preserve"> עם אפשרות ל</w:t>
      </w:r>
      <w:r w:rsidR="0089234D" w:rsidRPr="00771A78">
        <w:rPr>
          <w:rFonts w:cs="David" w:hint="cs"/>
          <w:color w:val="auto"/>
          <w:sz w:val="24"/>
          <w:szCs w:val="24"/>
          <w:u w:val="single"/>
          <w:rtl/>
        </w:rPr>
        <w:t>האריך ב-18 חודשים נוספים</w:t>
      </w:r>
      <w:r w:rsidR="0089234D">
        <w:rPr>
          <w:rFonts w:cs="David" w:hint="cs"/>
          <w:color w:val="auto"/>
          <w:sz w:val="24"/>
          <w:szCs w:val="24"/>
          <w:rtl/>
        </w:rPr>
        <w:t xml:space="preserve">. בכל מקרה שופט-חוקר רשאי לקבוע מועד סופי לסיום החקירה ואין תקופה מירבית לעניין זה. </w:t>
      </w:r>
      <w:r w:rsidR="009611BB" w:rsidRPr="0089234D">
        <w:rPr>
          <w:rFonts w:cs="David" w:hint="cs"/>
          <w:b/>
          <w:bCs/>
          <w:color w:val="auto"/>
          <w:sz w:val="24"/>
          <w:szCs w:val="24"/>
          <w:rtl/>
        </w:rPr>
        <w:t>באוסטריה</w:t>
      </w:r>
      <w:r w:rsidR="009611BB">
        <w:rPr>
          <w:rFonts w:cs="David" w:hint="cs"/>
          <w:color w:val="auto"/>
          <w:sz w:val="24"/>
          <w:szCs w:val="24"/>
          <w:rtl/>
        </w:rPr>
        <w:t xml:space="preserve"> </w:t>
      </w:r>
      <w:r w:rsidR="0089234D">
        <w:rPr>
          <w:rFonts w:cs="David" w:hint="cs"/>
          <w:sz w:val="24"/>
          <w:szCs w:val="24"/>
          <w:rtl/>
        </w:rPr>
        <w:t xml:space="preserve">החוק מגביל גם את החקירה המשטרתית, אך מאפשר לבימ"ש להאריך את התקופה. לפי החוק משך הזמן של הליכי החקירה עד להגשת כתב אישום לא יעלה על </w:t>
      </w:r>
      <w:r w:rsidR="0089234D" w:rsidRPr="00771A78">
        <w:rPr>
          <w:rFonts w:cs="David" w:hint="cs"/>
          <w:sz w:val="24"/>
          <w:szCs w:val="24"/>
          <w:u w:val="single"/>
          <w:rtl/>
        </w:rPr>
        <w:t>3 שנים</w:t>
      </w:r>
      <w:r w:rsidR="0089234D">
        <w:rPr>
          <w:rFonts w:cs="David" w:hint="cs"/>
          <w:sz w:val="24"/>
          <w:szCs w:val="24"/>
          <w:rtl/>
        </w:rPr>
        <w:t>, אך כאמור, לבימ"ש סמכות להאריך את התקופה בשנתיים נוספות ואם יש צורך אף מעבר לכך.</w:t>
      </w:r>
    </w:p>
    <w:p w:rsidR="00C828A0" w:rsidRDefault="00B20E94" w:rsidP="00C828A0">
      <w:pPr>
        <w:spacing w:before="0" w:after="120" w:line="360" w:lineRule="auto"/>
        <w:ind w:left="360" w:firstLine="0"/>
        <w:rPr>
          <w:rFonts w:cs="David"/>
          <w:b/>
          <w:bCs/>
          <w:color w:val="auto"/>
          <w:sz w:val="24"/>
          <w:szCs w:val="24"/>
          <w:highlight w:val="yellow"/>
          <w:u w:val="single"/>
        </w:rPr>
      </w:pPr>
      <w:r w:rsidRPr="00B20E94">
        <w:rPr>
          <w:rFonts w:cs="David" w:hint="cs"/>
          <w:color w:val="auto"/>
          <w:sz w:val="20"/>
          <w:szCs w:val="20"/>
          <w:rtl/>
        </w:rPr>
        <w:t xml:space="preserve">* </w:t>
      </w:r>
      <w:r>
        <w:rPr>
          <w:rFonts w:cs="David" w:hint="cs"/>
          <w:color w:val="auto"/>
          <w:sz w:val="20"/>
          <w:szCs w:val="20"/>
          <w:rtl/>
        </w:rPr>
        <w:t>ל</w:t>
      </w:r>
      <w:r w:rsidRPr="00B20E94">
        <w:rPr>
          <w:rFonts w:cs="David" w:hint="cs"/>
          <w:color w:val="auto"/>
          <w:sz w:val="20"/>
          <w:szCs w:val="20"/>
          <w:rtl/>
        </w:rPr>
        <w:t xml:space="preserve">פירוט נוסף </w:t>
      </w:r>
      <w:r>
        <w:rPr>
          <w:rFonts w:cs="David" w:hint="cs"/>
          <w:color w:val="auto"/>
          <w:sz w:val="20"/>
          <w:szCs w:val="20"/>
          <w:rtl/>
        </w:rPr>
        <w:t xml:space="preserve">ראו </w:t>
      </w:r>
      <w:r w:rsidRPr="00B20E94">
        <w:rPr>
          <w:rFonts w:cs="David" w:hint="cs"/>
          <w:color w:val="auto"/>
          <w:sz w:val="20"/>
          <w:szCs w:val="20"/>
          <w:rtl/>
        </w:rPr>
        <w:t xml:space="preserve">מסמך </w:t>
      </w:r>
      <w:r>
        <w:rPr>
          <w:rFonts w:cs="David" w:hint="cs"/>
          <w:color w:val="auto"/>
          <w:sz w:val="20"/>
          <w:szCs w:val="20"/>
          <w:rtl/>
        </w:rPr>
        <w:t>תחום חקיקה ומחקר משפטי של הכנסת</w:t>
      </w:r>
      <w:r w:rsidRPr="00B20E94">
        <w:rPr>
          <w:rFonts w:cs="David" w:hint="cs"/>
          <w:color w:val="auto"/>
          <w:sz w:val="20"/>
          <w:szCs w:val="20"/>
          <w:rtl/>
        </w:rPr>
        <w:t>.</w:t>
      </w:r>
      <w:r w:rsidR="00C828A0">
        <w:rPr>
          <w:rFonts w:cs="David" w:hint="cs"/>
          <w:color w:val="auto"/>
          <w:sz w:val="24"/>
          <w:szCs w:val="24"/>
          <w:rtl/>
        </w:rPr>
        <w:t xml:space="preserve"> </w:t>
      </w:r>
    </w:p>
    <w:p w:rsidR="00BE072E" w:rsidRPr="00711B39" w:rsidRDefault="00BE072E" w:rsidP="005A322F">
      <w:pPr>
        <w:spacing w:before="0" w:after="120" w:line="360" w:lineRule="auto"/>
        <w:ind w:firstLine="0"/>
        <w:rPr>
          <w:rFonts w:cs="David"/>
          <w:b/>
          <w:bCs/>
          <w:color w:val="auto"/>
          <w:sz w:val="24"/>
          <w:szCs w:val="24"/>
          <w:u w:val="single"/>
          <w:rtl/>
        </w:rPr>
      </w:pPr>
      <w:r w:rsidRPr="00C25249">
        <w:rPr>
          <w:rFonts w:cs="David" w:hint="cs"/>
          <w:b/>
          <w:bCs/>
          <w:color w:val="auto"/>
          <w:sz w:val="24"/>
          <w:szCs w:val="24"/>
          <w:highlight w:val="lightGray"/>
          <w:u w:val="single"/>
          <w:rtl/>
        </w:rPr>
        <w:t xml:space="preserve">סוגיות </w:t>
      </w:r>
      <w:r w:rsidR="00993AB8" w:rsidRPr="00C25249">
        <w:rPr>
          <w:rFonts w:cs="David" w:hint="cs"/>
          <w:b/>
          <w:bCs/>
          <w:color w:val="auto"/>
          <w:sz w:val="24"/>
          <w:szCs w:val="24"/>
          <w:highlight w:val="lightGray"/>
          <w:u w:val="single"/>
          <w:rtl/>
        </w:rPr>
        <w:t xml:space="preserve">כלליות </w:t>
      </w:r>
      <w:r w:rsidRPr="00C25249">
        <w:rPr>
          <w:rFonts w:cs="David" w:hint="cs"/>
          <w:b/>
          <w:bCs/>
          <w:color w:val="auto"/>
          <w:sz w:val="24"/>
          <w:szCs w:val="24"/>
          <w:highlight w:val="lightGray"/>
          <w:u w:val="single"/>
          <w:rtl/>
        </w:rPr>
        <w:t>לדיון:</w:t>
      </w:r>
      <w:r w:rsidRPr="00711B39">
        <w:rPr>
          <w:rFonts w:cs="David" w:hint="cs"/>
          <w:b/>
          <w:bCs/>
          <w:color w:val="auto"/>
          <w:sz w:val="24"/>
          <w:szCs w:val="24"/>
          <w:u w:val="single"/>
          <w:rtl/>
        </w:rPr>
        <w:t xml:space="preserve"> </w:t>
      </w:r>
    </w:p>
    <w:p w:rsidR="00C828A0" w:rsidRDefault="00C828A0" w:rsidP="00C828A0">
      <w:pPr>
        <w:pStyle w:val="a7"/>
        <w:numPr>
          <w:ilvl w:val="0"/>
          <w:numId w:val="9"/>
        </w:numPr>
        <w:spacing w:before="0" w:after="120" w:line="360" w:lineRule="auto"/>
        <w:rPr>
          <w:rFonts w:cs="David"/>
          <w:i/>
          <w:iCs/>
          <w:color w:val="auto"/>
          <w:sz w:val="22"/>
          <w:szCs w:val="22"/>
        </w:rPr>
      </w:pPr>
      <w:r>
        <w:rPr>
          <w:rFonts w:cs="David" w:hint="cs"/>
          <w:b/>
          <w:bCs/>
          <w:color w:val="auto"/>
          <w:sz w:val="24"/>
          <w:szCs w:val="24"/>
          <w:rtl/>
        </w:rPr>
        <w:t>ה</w:t>
      </w:r>
      <w:r w:rsidRPr="00711B39">
        <w:rPr>
          <w:rFonts w:cs="David" w:hint="cs"/>
          <w:b/>
          <w:bCs/>
          <w:color w:val="auto"/>
          <w:sz w:val="24"/>
          <w:szCs w:val="24"/>
          <w:rtl/>
        </w:rPr>
        <w:t>יכן נכון לקבוע את ההוראות</w:t>
      </w:r>
      <w:r w:rsidRPr="00993AB8">
        <w:rPr>
          <w:rFonts w:cs="David" w:hint="cs"/>
          <w:color w:val="auto"/>
          <w:sz w:val="24"/>
          <w:szCs w:val="24"/>
          <w:rtl/>
        </w:rPr>
        <w:t xml:space="preserve"> </w:t>
      </w:r>
      <w:r w:rsidRPr="00993AB8">
        <w:rPr>
          <w:rFonts w:cs="David"/>
          <w:color w:val="auto"/>
          <w:sz w:val="24"/>
          <w:szCs w:val="24"/>
          <w:rtl/>
        </w:rPr>
        <w:t>–</w:t>
      </w:r>
      <w:r>
        <w:rPr>
          <w:rFonts w:cs="David" w:hint="cs"/>
          <w:i/>
          <w:iCs/>
          <w:color w:val="auto"/>
          <w:sz w:val="22"/>
          <w:szCs w:val="22"/>
          <w:rtl/>
        </w:rPr>
        <w:t xml:space="preserve"> </w:t>
      </w:r>
      <w:r w:rsidRPr="00E953A5">
        <w:rPr>
          <w:rFonts w:cs="David" w:hint="cs"/>
          <w:i/>
          <w:iCs/>
          <w:color w:val="auto"/>
          <w:sz w:val="22"/>
          <w:szCs w:val="22"/>
          <w:rtl/>
        </w:rPr>
        <w:t xml:space="preserve">בחקיקה ראשית / </w:t>
      </w:r>
      <w:r>
        <w:rPr>
          <w:rFonts w:cs="David" w:hint="cs"/>
          <w:i/>
          <w:iCs/>
          <w:color w:val="auto"/>
          <w:sz w:val="22"/>
          <w:szCs w:val="22"/>
          <w:rtl/>
        </w:rPr>
        <w:t>ב</w:t>
      </w:r>
      <w:r w:rsidRPr="00E953A5">
        <w:rPr>
          <w:rFonts w:cs="David" w:hint="cs"/>
          <w:i/>
          <w:iCs/>
          <w:color w:val="auto"/>
          <w:sz w:val="22"/>
          <w:szCs w:val="22"/>
          <w:rtl/>
        </w:rPr>
        <w:t>חקיקת משנה / בהנחיות פנימיות</w:t>
      </w:r>
      <w:r>
        <w:rPr>
          <w:rFonts w:cs="David" w:hint="cs"/>
          <w:i/>
          <w:iCs/>
          <w:color w:val="auto"/>
          <w:sz w:val="22"/>
          <w:szCs w:val="22"/>
          <w:rtl/>
        </w:rPr>
        <w:t xml:space="preserve"> </w:t>
      </w:r>
      <w:r w:rsidRPr="00E953A5">
        <w:rPr>
          <w:rFonts w:cs="David" w:hint="cs"/>
          <w:i/>
          <w:iCs/>
          <w:color w:val="auto"/>
          <w:sz w:val="22"/>
          <w:szCs w:val="22"/>
          <w:rtl/>
        </w:rPr>
        <w:t xml:space="preserve">? </w:t>
      </w:r>
    </w:p>
    <w:p w:rsidR="00C828A0" w:rsidRDefault="00C828A0" w:rsidP="00C828A0">
      <w:pPr>
        <w:pStyle w:val="a7"/>
        <w:numPr>
          <w:ilvl w:val="0"/>
          <w:numId w:val="28"/>
        </w:numPr>
        <w:spacing w:before="0" w:after="120" w:line="360" w:lineRule="auto"/>
        <w:rPr>
          <w:rFonts w:cs="David"/>
          <w:i/>
          <w:iCs/>
          <w:color w:val="auto"/>
          <w:sz w:val="22"/>
          <w:szCs w:val="22"/>
          <w:rtl/>
        </w:rPr>
      </w:pPr>
      <w:r w:rsidRPr="00E953A5">
        <w:rPr>
          <w:rFonts w:cs="David" w:hint="cs"/>
          <w:b/>
          <w:bCs/>
          <w:i/>
          <w:iCs/>
          <w:color w:val="auto"/>
          <w:sz w:val="22"/>
          <w:szCs w:val="22"/>
          <w:rtl/>
        </w:rPr>
        <w:t>שיקולים בעד קביעת ההוראות בחקיקה</w:t>
      </w:r>
      <w:r>
        <w:rPr>
          <w:rFonts w:cs="David" w:hint="cs"/>
          <w:i/>
          <w:iCs/>
          <w:color w:val="auto"/>
          <w:sz w:val="22"/>
          <w:szCs w:val="22"/>
          <w:rtl/>
        </w:rPr>
        <w:t xml:space="preserve"> </w:t>
      </w:r>
      <w:r>
        <w:rPr>
          <w:rFonts w:cs="David"/>
          <w:i/>
          <w:iCs/>
          <w:color w:val="auto"/>
          <w:sz w:val="22"/>
          <w:szCs w:val="22"/>
          <w:rtl/>
        </w:rPr>
        <w:t>–</w:t>
      </w:r>
      <w:r>
        <w:rPr>
          <w:rFonts w:cs="David" w:hint="cs"/>
          <w:i/>
          <w:iCs/>
          <w:color w:val="auto"/>
          <w:sz w:val="22"/>
          <w:szCs w:val="22"/>
          <w:rtl/>
        </w:rPr>
        <w:t xml:space="preserve"> </w:t>
      </w:r>
    </w:p>
    <w:p w:rsidR="00C828A0" w:rsidRDefault="00C828A0" w:rsidP="00C828A0">
      <w:pPr>
        <w:pStyle w:val="a7"/>
        <w:numPr>
          <w:ilvl w:val="0"/>
          <w:numId w:val="30"/>
        </w:numPr>
        <w:spacing w:before="0" w:after="120" w:line="360" w:lineRule="auto"/>
        <w:rPr>
          <w:rFonts w:cs="David"/>
          <w:i/>
          <w:iCs/>
          <w:color w:val="auto"/>
          <w:sz w:val="22"/>
          <w:szCs w:val="22"/>
        </w:rPr>
      </w:pPr>
      <w:r w:rsidRPr="001849DA">
        <w:rPr>
          <w:rFonts w:cs="David" w:hint="cs"/>
          <w:i/>
          <w:iCs/>
          <w:color w:val="auto"/>
          <w:sz w:val="22"/>
          <w:szCs w:val="22"/>
          <w:rtl/>
        </w:rPr>
        <w:t>מדובר על סוגיה כבדת משקל מבחינה חוקתית וחברתית</w:t>
      </w:r>
      <w:r>
        <w:rPr>
          <w:rFonts w:cs="David" w:hint="cs"/>
          <w:i/>
          <w:iCs/>
          <w:color w:val="auto"/>
          <w:sz w:val="22"/>
          <w:szCs w:val="22"/>
          <w:rtl/>
        </w:rPr>
        <w:t>,</w:t>
      </w:r>
      <w:r w:rsidRPr="001849DA">
        <w:rPr>
          <w:rFonts w:cs="David" w:hint="cs"/>
          <w:i/>
          <w:iCs/>
          <w:color w:val="auto"/>
          <w:sz w:val="22"/>
          <w:szCs w:val="22"/>
          <w:rtl/>
        </w:rPr>
        <w:t xml:space="preserve"> בעלת השפעה מהותית על זכויותיהם של חשודים ושל נפגעי עבירה, ועל חיי הפרט בישראל; </w:t>
      </w:r>
    </w:p>
    <w:p w:rsidR="00C828A0" w:rsidRDefault="00C828A0" w:rsidP="00C828A0">
      <w:pPr>
        <w:pStyle w:val="a7"/>
        <w:numPr>
          <w:ilvl w:val="0"/>
          <w:numId w:val="30"/>
        </w:numPr>
        <w:spacing w:before="0" w:after="120" w:line="360" w:lineRule="auto"/>
        <w:ind w:left="1433" w:hanging="353"/>
        <w:rPr>
          <w:rFonts w:cs="David"/>
          <w:i/>
          <w:iCs/>
          <w:color w:val="auto"/>
          <w:sz w:val="22"/>
          <w:szCs w:val="22"/>
        </w:rPr>
      </w:pPr>
      <w:r>
        <w:rPr>
          <w:rFonts w:cs="David" w:hint="cs"/>
          <w:i/>
          <w:iCs/>
          <w:color w:val="auto"/>
          <w:sz w:val="22"/>
          <w:szCs w:val="22"/>
          <w:rtl/>
        </w:rPr>
        <w:t xml:space="preserve">נכון </w:t>
      </w:r>
      <w:r w:rsidRPr="001849DA">
        <w:rPr>
          <w:rFonts w:cs="David" w:hint="cs"/>
          <w:i/>
          <w:iCs/>
          <w:color w:val="auto"/>
          <w:sz w:val="22"/>
          <w:szCs w:val="22"/>
          <w:rtl/>
        </w:rPr>
        <w:t xml:space="preserve">לקבוע את ההסדר לאחר קיום דיון ציבורי רחב שבו יבואו לביטוי כל נקודות המבט; </w:t>
      </w:r>
    </w:p>
    <w:p w:rsidR="00C828A0" w:rsidRDefault="00C828A0" w:rsidP="00C828A0">
      <w:pPr>
        <w:pStyle w:val="a7"/>
        <w:numPr>
          <w:ilvl w:val="0"/>
          <w:numId w:val="30"/>
        </w:numPr>
        <w:spacing w:before="0" w:after="120" w:line="360" w:lineRule="auto"/>
        <w:rPr>
          <w:rFonts w:cs="David"/>
          <w:i/>
          <w:iCs/>
          <w:color w:val="auto"/>
          <w:sz w:val="22"/>
          <w:szCs w:val="22"/>
        </w:rPr>
      </w:pPr>
      <w:r>
        <w:rPr>
          <w:rFonts w:cs="David" w:hint="cs"/>
          <w:i/>
          <w:iCs/>
          <w:color w:val="auto"/>
          <w:sz w:val="22"/>
          <w:szCs w:val="22"/>
          <w:rtl/>
        </w:rPr>
        <w:t>אפשר ש</w:t>
      </w:r>
      <w:r w:rsidRPr="001849DA">
        <w:rPr>
          <w:rFonts w:cs="David" w:hint="cs"/>
          <w:i/>
          <w:iCs/>
          <w:color w:val="auto"/>
          <w:sz w:val="22"/>
          <w:szCs w:val="22"/>
          <w:rtl/>
        </w:rPr>
        <w:t xml:space="preserve">יישום החוק </w:t>
      </w:r>
      <w:r>
        <w:rPr>
          <w:rFonts w:cs="David" w:hint="cs"/>
          <w:i/>
          <w:iCs/>
          <w:color w:val="auto"/>
          <w:sz w:val="22"/>
          <w:szCs w:val="22"/>
          <w:rtl/>
        </w:rPr>
        <w:t>מ</w:t>
      </w:r>
      <w:r w:rsidRPr="001849DA">
        <w:rPr>
          <w:rFonts w:cs="David" w:hint="cs"/>
          <w:i/>
          <w:iCs/>
          <w:color w:val="auto"/>
          <w:sz w:val="22"/>
          <w:szCs w:val="22"/>
          <w:rtl/>
        </w:rPr>
        <w:t xml:space="preserve">חייב הקצאת תקציב ומשאבים; </w:t>
      </w:r>
    </w:p>
    <w:p w:rsidR="00C828A0" w:rsidRPr="001849DA" w:rsidRDefault="00C828A0" w:rsidP="007363E1">
      <w:pPr>
        <w:pStyle w:val="a7"/>
        <w:numPr>
          <w:ilvl w:val="0"/>
          <w:numId w:val="30"/>
        </w:numPr>
        <w:spacing w:before="0" w:after="120" w:line="360" w:lineRule="auto"/>
        <w:rPr>
          <w:rFonts w:cs="David"/>
          <w:i/>
          <w:iCs/>
          <w:color w:val="auto"/>
          <w:sz w:val="22"/>
          <w:szCs w:val="22"/>
        </w:rPr>
      </w:pPr>
      <w:r w:rsidRPr="001849DA">
        <w:rPr>
          <w:rFonts w:cs="David" w:hint="cs"/>
          <w:i/>
          <w:iCs/>
          <w:color w:val="auto"/>
          <w:sz w:val="22"/>
          <w:szCs w:val="22"/>
          <w:rtl/>
        </w:rPr>
        <w:t xml:space="preserve">קביעה בחקיקה </w:t>
      </w:r>
      <w:r w:rsidR="007363E1">
        <w:rPr>
          <w:rFonts w:cs="David" w:hint="cs"/>
          <w:i/>
          <w:iCs/>
          <w:color w:val="auto"/>
          <w:sz w:val="22"/>
          <w:szCs w:val="22"/>
          <w:rtl/>
        </w:rPr>
        <w:t>עשויה לה</w:t>
      </w:r>
      <w:r>
        <w:rPr>
          <w:rFonts w:cs="David" w:hint="cs"/>
          <w:i/>
          <w:iCs/>
          <w:color w:val="auto"/>
          <w:sz w:val="22"/>
          <w:szCs w:val="22"/>
          <w:rtl/>
        </w:rPr>
        <w:t xml:space="preserve">גביר </w:t>
      </w:r>
      <w:r w:rsidRPr="001849DA">
        <w:rPr>
          <w:rFonts w:cs="David" w:hint="cs"/>
          <w:i/>
          <w:iCs/>
          <w:color w:val="auto"/>
          <w:sz w:val="22"/>
          <w:szCs w:val="22"/>
          <w:rtl/>
        </w:rPr>
        <w:t xml:space="preserve">את </w:t>
      </w:r>
      <w:r>
        <w:rPr>
          <w:rFonts w:cs="David" w:hint="cs"/>
          <w:i/>
          <w:iCs/>
          <w:color w:val="auto"/>
          <w:sz w:val="22"/>
          <w:szCs w:val="22"/>
          <w:rtl/>
        </w:rPr>
        <w:t>העמידה ב</w:t>
      </w:r>
      <w:r w:rsidRPr="001849DA">
        <w:rPr>
          <w:rFonts w:cs="David" w:hint="cs"/>
          <w:i/>
          <w:iCs/>
          <w:color w:val="auto"/>
          <w:sz w:val="22"/>
          <w:szCs w:val="22"/>
          <w:rtl/>
        </w:rPr>
        <w:t>הוראות החוק באופן אחיד ולפי אמות מידה שוויוניות</w:t>
      </w:r>
      <w:r>
        <w:rPr>
          <w:rFonts w:cs="David" w:hint="cs"/>
          <w:i/>
          <w:iCs/>
          <w:color w:val="auto"/>
          <w:sz w:val="22"/>
          <w:szCs w:val="22"/>
          <w:rtl/>
        </w:rPr>
        <w:t>.</w:t>
      </w:r>
    </w:p>
    <w:p w:rsidR="00C828A0" w:rsidRDefault="00C828A0" w:rsidP="00C828A0">
      <w:pPr>
        <w:pStyle w:val="a7"/>
        <w:numPr>
          <w:ilvl w:val="0"/>
          <w:numId w:val="28"/>
        </w:numPr>
        <w:spacing w:before="0" w:after="120" w:line="360" w:lineRule="auto"/>
        <w:rPr>
          <w:rFonts w:cs="David"/>
          <w:i/>
          <w:iCs/>
          <w:color w:val="auto"/>
          <w:sz w:val="22"/>
          <w:szCs w:val="22"/>
          <w:rtl/>
        </w:rPr>
      </w:pPr>
      <w:r w:rsidRPr="00E953A5">
        <w:rPr>
          <w:rFonts w:cs="David" w:hint="cs"/>
          <w:b/>
          <w:bCs/>
          <w:i/>
          <w:iCs/>
          <w:color w:val="auto"/>
          <w:sz w:val="22"/>
          <w:szCs w:val="22"/>
          <w:rtl/>
        </w:rPr>
        <w:t xml:space="preserve">שיקולים </w:t>
      </w:r>
      <w:r>
        <w:rPr>
          <w:rFonts w:cs="David" w:hint="cs"/>
          <w:b/>
          <w:bCs/>
          <w:i/>
          <w:iCs/>
          <w:color w:val="auto"/>
          <w:sz w:val="22"/>
          <w:szCs w:val="22"/>
          <w:rtl/>
        </w:rPr>
        <w:t>נג</w:t>
      </w:r>
      <w:r w:rsidRPr="00E953A5">
        <w:rPr>
          <w:rFonts w:cs="David" w:hint="cs"/>
          <w:b/>
          <w:bCs/>
          <w:i/>
          <w:iCs/>
          <w:color w:val="auto"/>
          <w:sz w:val="22"/>
          <w:szCs w:val="22"/>
          <w:rtl/>
        </w:rPr>
        <w:t>ד קביעת ההוראות בחקיקה</w:t>
      </w:r>
      <w:r>
        <w:rPr>
          <w:rFonts w:cs="David" w:hint="cs"/>
          <w:i/>
          <w:iCs/>
          <w:color w:val="auto"/>
          <w:sz w:val="22"/>
          <w:szCs w:val="22"/>
          <w:rtl/>
        </w:rPr>
        <w:t xml:space="preserve"> </w:t>
      </w:r>
      <w:r>
        <w:rPr>
          <w:rFonts w:cs="David"/>
          <w:i/>
          <w:iCs/>
          <w:color w:val="auto"/>
          <w:sz w:val="22"/>
          <w:szCs w:val="22"/>
          <w:rtl/>
        </w:rPr>
        <w:t>–</w:t>
      </w:r>
      <w:r>
        <w:rPr>
          <w:rFonts w:cs="David" w:hint="cs"/>
          <w:i/>
          <w:iCs/>
          <w:color w:val="auto"/>
          <w:sz w:val="22"/>
          <w:szCs w:val="22"/>
          <w:rtl/>
        </w:rPr>
        <w:t xml:space="preserve"> </w:t>
      </w:r>
    </w:p>
    <w:p w:rsidR="00C828A0" w:rsidRDefault="00C828A0" w:rsidP="00C828A0">
      <w:pPr>
        <w:pStyle w:val="a7"/>
        <w:numPr>
          <w:ilvl w:val="0"/>
          <w:numId w:val="29"/>
        </w:numPr>
        <w:spacing w:before="0" w:after="120" w:line="360" w:lineRule="auto"/>
        <w:rPr>
          <w:rFonts w:cs="David"/>
          <w:i/>
          <w:iCs/>
          <w:color w:val="auto"/>
          <w:sz w:val="22"/>
          <w:szCs w:val="22"/>
          <w:rtl/>
        </w:rPr>
      </w:pPr>
      <w:r>
        <w:rPr>
          <w:rFonts w:cs="David" w:hint="cs"/>
          <w:i/>
          <w:iCs/>
          <w:color w:val="auto"/>
          <w:sz w:val="22"/>
          <w:szCs w:val="22"/>
          <w:rtl/>
        </w:rPr>
        <w:t xml:space="preserve">ככלל, אם אין תופעה בעייתית </w:t>
      </w:r>
      <w:r>
        <w:rPr>
          <w:rFonts w:cs="David"/>
          <w:i/>
          <w:iCs/>
          <w:color w:val="auto"/>
          <w:sz w:val="22"/>
          <w:szCs w:val="22"/>
          <w:rtl/>
        </w:rPr>
        <w:t>–</w:t>
      </w:r>
      <w:r>
        <w:rPr>
          <w:rFonts w:cs="David" w:hint="cs"/>
          <w:i/>
          <w:iCs/>
          <w:color w:val="auto"/>
          <w:sz w:val="22"/>
          <w:szCs w:val="22"/>
          <w:rtl/>
        </w:rPr>
        <w:t xml:space="preserve"> אין הצדקה לחוקק; במקרה הזה התופעה טופלה בעשור האחרון באמצעות הנחיות פנימיות והיקף המקרים שבהם הליכי החקירה ממושכים צומצם משמעותית; </w:t>
      </w:r>
    </w:p>
    <w:p w:rsidR="00C828A0" w:rsidRDefault="00C828A0" w:rsidP="00C828A0">
      <w:pPr>
        <w:pStyle w:val="a7"/>
        <w:numPr>
          <w:ilvl w:val="0"/>
          <w:numId w:val="29"/>
        </w:numPr>
        <w:spacing w:before="0" w:after="120" w:line="360" w:lineRule="auto"/>
        <w:rPr>
          <w:rFonts w:cs="David"/>
          <w:i/>
          <w:iCs/>
          <w:color w:val="auto"/>
          <w:sz w:val="22"/>
          <w:szCs w:val="22"/>
        </w:rPr>
      </w:pPr>
      <w:r>
        <w:rPr>
          <w:rFonts w:cs="David" w:hint="cs"/>
          <w:i/>
          <w:iCs/>
          <w:color w:val="auto"/>
          <w:sz w:val="22"/>
          <w:szCs w:val="22"/>
          <w:rtl/>
        </w:rPr>
        <w:t xml:space="preserve">סוגיה מורכבת ורגישה שנכון להותיר בה שיקול דעת מקצועי וגמישות  לרשויות החקירה והתביעה עם פיקוח ובקרה; </w:t>
      </w:r>
    </w:p>
    <w:p w:rsidR="00C828A0" w:rsidRPr="00771A78" w:rsidRDefault="00C828A0" w:rsidP="00C828A0">
      <w:pPr>
        <w:pStyle w:val="a7"/>
        <w:numPr>
          <w:ilvl w:val="0"/>
          <w:numId w:val="29"/>
        </w:numPr>
        <w:spacing w:before="0" w:after="120" w:line="360" w:lineRule="auto"/>
        <w:rPr>
          <w:rFonts w:cs="David"/>
          <w:color w:val="auto"/>
          <w:sz w:val="24"/>
          <w:szCs w:val="24"/>
          <w:rtl/>
        </w:rPr>
      </w:pPr>
      <w:r>
        <w:rPr>
          <w:rFonts w:cs="David" w:hint="cs"/>
          <w:i/>
          <w:iCs/>
          <w:color w:val="auto"/>
          <w:sz w:val="22"/>
          <w:szCs w:val="22"/>
          <w:rtl/>
        </w:rPr>
        <w:t>קביעת הוראות נוקשות שהפרתן מונעת שימוש בראיות והעמדה לדין</w:t>
      </w:r>
      <w:r w:rsidR="007363E1">
        <w:rPr>
          <w:rFonts w:cs="David" w:hint="cs"/>
          <w:i/>
          <w:iCs/>
          <w:color w:val="auto"/>
          <w:sz w:val="22"/>
          <w:szCs w:val="22"/>
          <w:rtl/>
        </w:rPr>
        <w:t>,</w:t>
      </w:r>
      <w:r>
        <w:rPr>
          <w:rFonts w:cs="David" w:hint="cs"/>
          <w:i/>
          <w:iCs/>
          <w:color w:val="auto"/>
          <w:sz w:val="22"/>
          <w:szCs w:val="22"/>
          <w:rtl/>
        </w:rPr>
        <w:t xml:space="preserve"> עלולה לייצר תמריץ לגורמים שונים לעכב או לסכל הליכי חקירה ותביעה.</w:t>
      </w:r>
    </w:p>
    <w:p w:rsidR="00C828A0" w:rsidRPr="00C828A0" w:rsidRDefault="00C828A0" w:rsidP="00C828A0">
      <w:pPr>
        <w:pStyle w:val="a7"/>
        <w:numPr>
          <w:ilvl w:val="0"/>
          <w:numId w:val="29"/>
        </w:numPr>
        <w:spacing w:before="0" w:after="120" w:line="360" w:lineRule="auto"/>
        <w:rPr>
          <w:rFonts w:cs="David"/>
          <w:color w:val="auto"/>
          <w:sz w:val="24"/>
          <w:szCs w:val="24"/>
        </w:rPr>
      </w:pPr>
      <w:r>
        <w:rPr>
          <w:rFonts w:cs="David" w:hint="cs"/>
          <w:i/>
          <w:iCs/>
          <w:color w:val="auto"/>
          <w:sz w:val="22"/>
          <w:szCs w:val="22"/>
          <w:rtl/>
        </w:rPr>
        <w:t>הוראות נוקשות עם סנקציות עלולות להשפיע על התנהלות גורמי החקירה והתביעה ולהפריע לבירור האמת -</w:t>
      </w:r>
      <w:r w:rsidRPr="00771A78">
        <w:rPr>
          <w:rFonts w:cs="David" w:hint="cs"/>
          <w:i/>
          <w:iCs/>
          <w:color w:val="auto"/>
          <w:sz w:val="22"/>
          <w:szCs w:val="22"/>
          <w:rtl/>
        </w:rPr>
        <w:t xml:space="preserve"> לחץ מופרז להודאות, עסקאות טיעון מהירות גם על עבירות מופחתות; </w:t>
      </w:r>
      <w:r>
        <w:rPr>
          <w:rFonts w:cs="David" w:hint="cs"/>
          <w:i/>
          <w:iCs/>
          <w:color w:val="auto"/>
          <w:sz w:val="22"/>
          <w:szCs w:val="22"/>
          <w:rtl/>
        </w:rPr>
        <w:t>במקרים קיצוניים טעויות</w:t>
      </w:r>
      <w:r w:rsidRPr="00771A78">
        <w:rPr>
          <w:rFonts w:cs="David" w:hint="cs"/>
          <w:i/>
          <w:iCs/>
          <w:color w:val="auto"/>
          <w:sz w:val="20"/>
          <w:szCs w:val="20"/>
          <w:rtl/>
        </w:rPr>
        <w:t xml:space="preserve"> </w:t>
      </w:r>
      <w:r>
        <w:rPr>
          <w:rFonts w:cs="David" w:hint="cs"/>
          <w:i/>
          <w:iCs/>
          <w:color w:val="auto"/>
          <w:sz w:val="22"/>
          <w:szCs w:val="22"/>
          <w:rtl/>
        </w:rPr>
        <w:t>ו</w:t>
      </w:r>
      <w:r w:rsidRPr="00771A78">
        <w:rPr>
          <w:rFonts w:cs="David" w:hint="cs"/>
          <w:i/>
          <w:iCs/>
          <w:color w:val="auto"/>
          <w:sz w:val="22"/>
          <w:szCs w:val="22"/>
          <w:rtl/>
        </w:rPr>
        <w:t>הפללת חשודים "טבעיים" שאינם בהכרח אשמים.</w:t>
      </w:r>
    </w:p>
    <w:p w:rsidR="00BE072E" w:rsidRPr="00C828A0" w:rsidRDefault="00BE072E" w:rsidP="00C828A0">
      <w:pPr>
        <w:pStyle w:val="a7"/>
        <w:numPr>
          <w:ilvl w:val="0"/>
          <w:numId w:val="9"/>
        </w:numPr>
        <w:spacing w:before="0" w:after="120" w:line="360" w:lineRule="auto"/>
        <w:rPr>
          <w:rFonts w:cs="David"/>
          <w:color w:val="auto"/>
          <w:sz w:val="24"/>
          <w:szCs w:val="24"/>
        </w:rPr>
      </w:pPr>
      <w:r w:rsidRPr="00C828A0">
        <w:rPr>
          <w:rFonts w:cs="David" w:hint="cs"/>
          <w:b/>
          <w:bCs/>
          <w:color w:val="auto"/>
          <w:sz w:val="24"/>
          <w:szCs w:val="24"/>
          <w:rtl/>
        </w:rPr>
        <w:t xml:space="preserve">עצם קביעתן של </w:t>
      </w:r>
      <w:r w:rsidR="00711B39" w:rsidRPr="00C828A0">
        <w:rPr>
          <w:rFonts w:cs="David" w:hint="cs"/>
          <w:b/>
          <w:bCs/>
          <w:color w:val="auto"/>
          <w:sz w:val="24"/>
          <w:szCs w:val="24"/>
          <w:rtl/>
        </w:rPr>
        <w:t>הוראות ה</w:t>
      </w:r>
      <w:r w:rsidRPr="00C828A0">
        <w:rPr>
          <w:rFonts w:cs="David" w:hint="cs"/>
          <w:b/>
          <w:bCs/>
          <w:color w:val="auto"/>
          <w:sz w:val="24"/>
          <w:szCs w:val="24"/>
          <w:rtl/>
        </w:rPr>
        <w:t>מגב</w:t>
      </w:r>
      <w:r w:rsidR="00711B39" w:rsidRPr="00C828A0">
        <w:rPr>
          <w:rFonts w:cs="David" w:hint="cs"/>
          <w:b/>
          <w:bCs/>
          <w:color w:val="auto"/>
          <w:sz w:val="24"/>
          <w:szCs w:val="24"/>
          <w:rtl/>
        </w:rPr>
        <w:t>י</w:t>
      </w:r>
      <w:r w:rsidRPr="00C828A0">
        <w:rPr>
          <w:rFonts w:cs="David" w:hint="cs"/>
          <w:b/>
          <w:bCs/>
          <w:color w:val="auto"/>
          <w:sz w:val="24"/>
          <w:szCs w:val="24"/>
          <w:rtl/>
        </w:rPr>
        <w:t xml:space="preserve">לות </w:t>
      </w:r>
      <w:r w:rsidR="00711B39" w:rsidRPr="00C828A0">
        <w:rPr>
          <w:rFonts w:cs="David" w:hint="cs"/>
          <w:b/>
          <w:bCs/>
          <w:color w:val="auto"/>
          <w:sz w:val="24"/>
          <w:szCs w:val="24"/>
          <w:rtl/>
        </w:rPr>
        <w:t>את משך החקירה והליכי התביעה:</w:t>
      </w:r>
    </w:p>
    <w:p w:rsidR="00BE072E" w:rsidRPr="00993AB8" w:rsidRDefault="00BE072E" w:rsidP="00711B39">
      <w:pPr>
        <w:pStyle w:val="a7"/>
        <w:numPr>
          <w:ilvl w:val="0"/>
          <w:numId w:val="10"/>
        </w:numPr>
        <w:spacing w:before="0" w:after="120" w:line="360" w:lineRule="auto"/>
        <w:rPr>
          <w:rFonts w:cs="David"/>
          <w:color w:val="auto"/>
          <w:sz w:val="24"/>
          <w:szCs w:val="24"/>
        </w:rPr>
      </w:pPr>
      <w:r w:rsidRPr="00711B39">
        <w:rPr>
          <w:rFonts w:cs="David" w:hint="cs"/>
          <w:color w:val="auto"/>
          <w:sz w:val="24"/>
          <w:szCs w:val="24"/>
          <w:u w:val="single"/>
          <w:rtl/>
        </w:rPr>
        <w:t>הצורך בקביעת מגבלות</w:t>
      </w:r>
      <w:r w:rsidRPr="00993AB8">
        <w:rPr>
          <w:rFonts w:cs="David" w:hint="cs"/>
          <w:color w:val="auto"/>
          <w:sz w:val="24"/>
          <w:szCs w:val="24"/>
          <w:rtl/>
        </w:rPr>
        <w:t xml:space="preserve"> </w:t>
      </w:r>
      <w:r w:rsidR="00993AB8">
        <w:rPr>
          <w:rFonts w:cs="David"/>
          <w:color w:val="auto"/>
          <w:sz w:val="24"/>
          <w:szCs w:val="24"/>
          <w:rtl/>
        </w:rPr>
        <w:t>–</w:t>
      </w:r>
      <w:r w:rsidR="00993AB8">
        <w:rPr>
          <w:rFonts w:cs="David" w:hint="cs"/>
          <w:color w:val="auto"/>
          <w:sz w:val="24"/>
          <w:szCs w:val="24"/>
          <w:rtl/>
        </w:rPr>
        <w:t xml:space="preserve"> </w:t>
      </w:r>
      <w:r w:rsidR="00711B39">
        <w:rPr>
          <w:rFonts w:cs="David" w:hint="cs"/>
          <w:i/>
          <w:iCs/>
          <w:color w:val="auto"/>
          <w:sz w:val="22"/>
          <w:szCs w:val="22"/>
          <w:rtl/>
        </w:rPr>
        <w:t>מקובל וא</w:t>
      </w:r>
      <w:r w:rsidR="005F0B54">
        <w:rPr>
          <w:rFonts w:cs="David" w:hint="cs"/>
          <w:i/>
          <w:iCs/>
          <w:color w:val="auto"/>
          <w:sz w:val="22"/>
          <w:szCs w:val="22"/>
          <w:rtl/>
        </w:rPr>
        <w:t>ינו שנוי במחלוקת</w:t>
      </w:r>
      <w:r w:rsidR="00711B39">
        <w:rPr>
          <w:rFonts w:cs="David" w:hint="cs"/>
          <w:i/>
          <w:iCs/>
          <w:color w:val="auto"/>
          <w:sz w:val="22"/>
          <w:szCs w:val="22"/>
          <w:rtl/>
        </w:rPr>
        <w:t>,</w:t>
      </w:r>
      <w:r w:rsidR="005F0B54">
        <w:rPr>
          <w:rFonts w:cs="David" w:hint="cs"/>
          <w:i/>
          <w:iCs/>
          <w:color w:val="auto"/>
          <w:sz w:val="22"/>
          <w:szCs w:val="22"/>
          <w:rtl/>
        </w:rPr>
        <w:t xml:space="preserve"> </w:t>
      </w:r>
      <w:r w:rsidR="00711B39">
        <w:rPr>
          <w:rFonts w:cs="David" w:hint="cs"/>
          <w:i/>
          <w:iCs/>
          <w:color w:val="auto"/>
          <w:sz w:val="22"/>
          <w:szCs w:val="22"/>
          <w:rtl/>
        </w:rPr>
        <w:t xml:space="preserve">שהרי מגבלות על משך החקירה והתביעה נקבעו בהנחיות פנימיות. </w:t>
      </w:r>
    </w:p>
    <w:p w:rsidR="00BE072E" w:rsidRPr="00993AB8" w:rsidRDefault="00BE072E" w:rsidP="00711B39">
      <w:pPr>
        <w:pStyle w:val="a7"/>
        <w:numPr>
          <w:ilvl w:val="0"/>
          <w:numId w:val="10"/>
        </w:numPr>
        <w:spacing w:before="0" w:after="120" w:line="360" w:lineRule="auto"/>
        <w:rPr>
          <w:rFonts w:cs="David"/>
          <w:color w:val="auto"/>
          <w:sz w:val="24"/>
          <w:szCs w:val="24"/>
        </w:rPr>
      </w:pPr>
      <w:r w:rsidRPr="00711B39">
        <w:rPr>
          <w:rFonts w:cs="David" w:hint="cs"/>
          <w:color w:val="auto"/>
          <w:sz w:val="24"/>
          <w:szCs w:val="24"/>
          <w:u w:val="single"/>
          <w:rtl/>
        </w:rPr>
        <w:t>אורך התקופות</w:t>
      </w:r>
      <w:r w:rsidRPr="00993AB8">
        <w:rPr>
          <w:rFonts w:cs="David" w:hint="cs"/>
          <w:color w:val="auto"/>
          <w:sz w:val="24"/>
          <w:szCs w:val="24"/>
          <w:rtl/>
        </w:rPr>
        <w:t xml:space="preserve"> </w:t>
      </w:r>
      <w:r w:rsidR="00993AB8" w:rsidRPr="00993AB8">
        <w:rPr>
          <w:rFonts w:cs="David"/>
          <w:color w:val="auto"/>
          <w:sz w:val="24"/>
          <w:szCs w:val="24"/>
          <w:rtl/>
        </w:rPr>
        <w:t>–</w:t>
      </w:r>
      <w:r w:rsidR="00711B39">
        <w:rPr>
          <w:rFonts w:cs="David" w:hint="cs"/>
          <w:color w:val="auto"/>
          <w:sz w:val="24"/>
          <w:szCs w:val="24"/>
          <w:rtl/>
        </w:rPr>
        <w:t xml:space="preserve"> </w:t>
      </w:r>
      <w:r w:rsidR="00993AB8" w:rsidRPr="00993AB8">
        <w:rPr>
          <w:rFonts w:cs="David" w:hint="cs"/>
          <w:i/>
          <w:iCs/>
          <w:color w:val="auto"/>
          <w:sz w:val="22"/>
          <w:szCs w:val="22"/>
          <w:rtl/>
        </w:rPr>
        <w:t>כיצד נקבעו התקופות?</w:t>
      </w:r>
      <w:r w:rsidR="00993AB8" w:rsidRPr="00993AB8">
        <w:rPr>
          <w:rFonts w:cs="David" w:hint="cs"/>
          <w:color w:val="auto"/>
          <w:sz w:val="22"/>
          <w:szCs w:val="22"/>
          <w:rtl/>
        </w:rPr>
        <w:t xml:space="preserve"> </w:t>
      </w:r>
      <w:r w:rsidR="00993AB8">
        <w:rPr>
          <w:rFonts w:cs="David" w:hint="cs"/>
          <w:i/>
          <w:iCs/>
          <w:sz w:val="22"/>
          <w:szCs w:val="22"/>
          <w:rtl/>
        </w:rPr>
        <w:t xml:space="preserve">בהקשר זה </w:t>
      </w:r>
      <w:r w:rsidR="00993AB8" w:rsidRPr="00993AB8">
        <w:rPr>
          <w:rFonts w:cs="David" w:hint="cs"/>
          <w:i/>
          <w:iCs/>
          <w:sz w:val="22"/>
          <w:szCs w:val="22"/>
          <w:rtl/>
        </w:rPr>
        <w:t>יצוין כי מבקר המדינה העיר בדוח</w:t>
      </w:r>
      <w:r w:rsidR="00993AB8">
        <w:rPr>
          <w:rFonts w:cs="David" w:hint="cs"/>
          <w:i/>
          <w:iCs/>
          <w:sz w:val="22"/>
          <w:szCs w:val="22"/>
          <w:rtl/>
        </w:rPr>
        <w:t xml:space="preserve"> משנת 2011</w:t>
      </w:r>
      <w:r w:rsidR="00993AB8" w:rsidRPr="00993AB8">
        <w:rPr>
          <w:rFonts w:cs="David" w:hint="cs"/>
          <w:i/>
          <w:iCs/>
          <w:sz w:val="22"/>
          <w:szCs w:val="22"/>
          <w:rtl/>
        </w:rPr>
        <w:t xml:space="preserve"> </w:t>
      </w:r>
      <w:r w:rsidR="00993AB8">
        <w:rPr>
          <w:rFonts w:cs="David" w:hint="cs"/>
          <w:i/>
          <w:iCs/>
          <w:sz w:val="22"/>
          <w:szCs w:val="22"/>
          <w:rtl/>
        </w:rPr>
        <w:t xml:space="preserve">ביחס לתקופות שנקבעו בהנחית היועץ המשפטי לממשלה, </w:t>
      </w:r>
      <w:r w:rsidR="00993AB8" w:rsidRPr="00993AB8">
        <w:rPr>
          <w:rFonts w:cs="David" w:hint="cs"/>
          <w:i/>
          <w:iCs/>
          <w:sz w:val="22"/>
          <w:szCs w:val="22"/>
          <w:rtl/>
        </w:rPr>
        <w:t xml:space="preserve">כי </w:t>
      </w:r>
      <w:r w:rsidR="00993AB8">
        <w:rPr>
          <w:rFonts w:cs="David" w:hint="cs"/>
          <w:i/>
          <w:iCs/>
          <w:sz w:val="22"/>
          <w:szCs w:val="22"/>
          <w:rtl/>
        </w:rPr>
        <w:t xml:space="preserve">על בסיס בדיקה מדגמית שערך </w:t>
      </w:r>
      <w:r w:rsidR="00993AB8" w:rsidRPr="00993AB8">
        <w:rPr>
          <w:rFonts w:cs="David" w:hint="cs"/>
          <w:i/>
          <w:iCs/>
          <w:sz w:val="22"/>
          <w:szCs w:val="22"/>
          <w:rtl/>
        </w:rPr>
        <w:t>התקופות ארוכות מהנדרש</w:t>
      </w:r>
      <w:r w:rsidR="00993AB8">
        <w:rPr>
          <w:rFonts w:cs="David" w:hint="cs"/>
          <w:i/>
          <w:iCs/>
          <w:sz w:val="22"/>
          <w:szCs w:val="22"/>
          <w:rtl/>
        </w:rPr>
        <w:t>,</w:t>
      </w:r>
      <w:r w:rsidR="00993AB8" w:rsidRPr="00993AB8">
        <w:rPr>
          <w:rFonts w:cs="David" w:hint="cs"/>
          <w:i/>
          <w:iCs/>
          <w:sz w:val="22"/>
          <w:szCs w:val="22"/>
          <w:rtl/>
        </w:rPr>
        <w:t xml:space="preserve"> ויש חשש שיביאו להארכת משך הטיפול ב</w:t>
      </w:r>
      <w:r w:rsidR="005F0B54">
        <w:rPr>
          <w:rFonts w:cs="David" w:hint="cs"/>
          <w:i/>
          <w:iCs/>
          <w:sz w:val="22"/>
          <w:szCs w:val="22"/>
          <w:rtl/>
        </w:rPr>
        <w:t>ת</w:t>
      </w:r>
      <w:r w:rsidR="00993AB8" w:rsidRPr="00993AB8">
        <w:rPr>
          <w:rFonts w:cs="David" w:hint="cs"/>
          <w:i/>
          <w:iCs/>
          <w:sz w:val="22"/>
          <w:szCs w:val="22"/>
          <w:rtl/>
        </w:rPr>
        <w:t>יקים ולא לקיצורו.</w:t>
      </w:r>
    </w:p>
    <w:p w:rsidR="00BE072E" w:rsidRPr="00993AB8" w:rsidRDefault="00BE072E" w:rsidP="002C4BED">
      <w:pPr>
        <w:pStyle w:val="a7"/>
        <w:numPr>
          <w:ilvl w:val="0"/>
          <w:numId w:val="10"/>
        </w:numPr>
        <w:spacing w:before="0" w:after="120" w:line="360" w:lineRule="auto"/>
        <w:rPr>
          <w:rFonts w:cs="David"/>
          <w:color w:val="auto"/>
          <w:sz w:val="24"/>
          <w:szCs w:val="24"/>
        </w:rPr>
      </w:pPr>
      <w:r w:rsidRPr="00711B39">
        <w:rPr>
          <w:rFonts w:cs="David" w:hint="cs"/>
          <w:color w:val="auto"/>
          <w:sz w:val="24"/>
          <w:szCs w:val="24"/>
          <w:u w:val="single"/>
          <w:rtl/>
        </w:rPr>
        <w:t>מנגנוני הארכת התקופות</w:t>
      </w:r>
      <w:r w:rsidRPr="00993AB8">
        <w:rPr>
          <w:rFonts w:cs="David" w:hint="cs"/>
          <w:color w:val="auto"/>
          <w:sz w:val="24"/>
          <w:szCs w:val="24"/>
          <w:rtl/>
        </w:rPr>
        <w:t xml:space="preserve"> </w:t>
      </w:r>
      <w:r w:rsidR="005F0B54">
        <w:rPr>
          <w:rFonts w:cs="David"/>
          <w:color w:val="auto"/>
          <w:sz w:val="24"/>
          <w:szCs w:val="24"/>
          <w:rtl/>
        </w:rPr>
        <w:t>–</w:t>
      </w:r>
      <w:r w:rsidR="005F0B54">
        <w:rPr>
          <w:rFonts w:cs="David" w:hint="cs"/>
          <w:color w:val="auto"/>
          <w:sz w:val="24"/>
          <w:szCs w:val="24"/>
          <w:rtl/>
        </w:rPr>
        <w:t xml:space="preserve"> </w:t>
      </w:r>
      <w:r w:rsidR="002C4BED">
        <w:rPr>
          <w:rFonts w:cs="David" w:hint="cs"/>
          <w:i/>
          <w:iCs/>
          <w:color w:val="auto"/>
          <w:sz w:val="22"/>
          <w:szCs w:val="22"/>
          <w:rtl/>
        </w:rPr>
        <w:t xml:space="preserve">זהות הגורם המוסמך ? מנגנון דו-שלבי ? קביעת מגבלה להארכה מירבית של התקופה </w:t>
      </w:r>
      <w:r w:rsidR="002C4BED">
        <w:rPr>
          <w:rFonts w:cs="David" w:hint="cs"/>
          <w:color w:val="auto"/>
          <w:sz w:val="22"/>
          <w:szCs w:val="22"/>
          <w:rtl/>
        </w:rPr>
        <w:t>?</w:t>
      </w:r>
      <w:r w:rsidR="00711B39">
        <w:rPr>
          <w:rFonts w:cs="David" w:hint="cs"/>
          <w:color w:val="auto"/>
          <w:sz w:val="22"/>
          <w:szCs w:val="22"/>
          <w:rtl/>
        </w:rPr>
        <w:t xml:space="preserve"> </w:t>
      </w:r>
    </w:p>
    <w:p w:rsidR="00BE072E" w:rsidRPr="00993AB8" w:rsidRDefault="00BE072E" w:rsidP="008164E4">
      <w:pPr>
        <w:pStyle w:val="a7"/>
        <w:numPr>
          <w:ilvl w:val="0"/>
          <w:numId w:val="10"/>
        </w:numPr>
        <w:spacing w:before="0" w:after="120" w:line="360" w:lineRule="auto"/>
        <w:rPr>
          <w:rFonts w:cs="David"/>
          <w:color w:val="auto"/>
          <w:sz w:val="24"/>
          <w:szCs w:val="24"/>
        </w:rPr>
      </w:pPr>
      <w:r w:rsidRPr="00711B39">
        <w:rPr>
          <w:rFonts w:cs="David" w:hint="cs"/>
          <w:color w:val="auto"/>
          <w:sz w:val="24"/>
          <w:szCs w:val="24"/>
          <w:u w:val="single"/>
          <w:rtl/>
        </w:rPr>
        <w:t>פיקוח ובקרה על עמידה בהוראות</w:t>
      </w:r>
      <w:r w:rsidRPr="00993AB8">
        <w:rPr>
          <w:rFonts w:cs="David" w:hint="cs"/>
          <w:color w:val="auto"/>
          <w:sz w:val="24"/>
          <w:szCs w:val="24"/>
          <w:rtl/>
        </w:rPr>
        <w:t xml:space="preserve"> </w:t>
      </w:r>
      <w:r w:rsidR="005F0B54">
        <w:rPr>
          <w:rFonts w:cs="David"/>
          <w:color w:val="auto"/>
          <w:sz w:val="24"/>
          <w:szCs w:val="24"/>
          <w:rtl/>
        </w:rPr>
        <w:t>–</w:t>
      </w:r>
      <w:r w:rsidR="005F0B54">
        <w:rPr>
          <w:rFonts w:cs="David" w:hint="cs"/>
          <w:color w:val="auto"/>
          <w:sz w:val="24"/>
          <w:szCs w:val="24"/>
          <w:rtl/>
        </w:rPr>
        <w:t xml:space="preserve"> </w:t>
      </w:r>
      <w:r w:rsidR="005F0B54" w:rsidRPr="005F0B54">
        <w:rPr>
          <w:rFonts w:cs="David" w:hint="cs"/>
          <w:i/>
          <w:iCs/>
          <w:color w:val="auto"/>
          <w:sz w:val="22"/>
          <w:szCs w:val="22"/>
          <w:rtl/>
        </w:rPr>
        <w:t>על ידי גורם פנימי או חיצוני</w:t>
      </w:r>
      <w:r w:rsidR="005F0B54" w:rsidRPr="005F0B54">
        <w:rPr>
          <w:rFonts w:cs="David" w:hint="cs"/>
          <w:color w:val="auto"/>
          <w:sz w:val="22"/>
          <w:szCs w:val="22"/>
          <w:rtl/>
        </w:rPr>
        <w:t xml:space="preserve"> </w:t>
      </w:r>
      <w:r w:rsidR="002C4BED">
        <w:rPr>
          <w:rFonts w:cs="David" w:hint="cs"/>
          <w:color w:val="auto"/>
          <w:sz w:val="24"/>
          <w:szCs w:val="24"/>
          <w:rtl/>
        </w:rPr>
        <w:t>?</w:t>
      </w:r>
    </w:p>
    <w:p w:rsidR="00711B39" w:rsidRPr="00993AB8" w:rsidRDefault="00BE072E" w:rsidP="00711B39">
      <w:pPr>
        <w:pStyle w:val="a7"/>
        <w:numPr>
          <w:ilvl w:val="0"/>
          <w:numId w:val="10"/>
        </w:numPr>
        <w:spacing w:before="0" w:after="120" w:line="360" w:lineRule="auto"/>
        <w:rPr>
          <w:rFonts w:cs="David"/>
          <w:color w:val="auto"/>
          <w:sz w:val="24"/>
          <w:szCs w:val="24"/>
        </w:rPr>
      </w:pPr>
      <w:r w:rsidRPr="00711B39">
        <w:rPr>
          <w:rFonts w:cs="David" w:hint="cs"/>
          <w:color w:val="auto"/>
          <w:sz w:val="24"/>
          <w:szCs w:val="24"/>
          <w:u w:val="single"/>
          <w:rtl/>
        </w:rPr>
        <w:t>קביעת סנקציות</w:t>
      </w:r>
      <w:r w:rsidR="00711B39">
        <w:rPr>
          <w:rFonts w:cs="David" w:hint="cs"/>
          <w:color w:val="auto"/>
          <w:sz w:val="24"/>
          <w:szCs w:val="24"/>
          <w:u w:val="single"/>
          <w:rtl/>
        </w:rPr>
        <w:t xml:space="preserve"> על חריגה מהמגבלות</w:t>
      </w:r>
      <w:r w:rsidR="00711B39">
        <w:rPr>
          <w:rFonts w:cs="David" w:hint="cs"/>
          <w:color w:val="auto"/>
          <w:sz w:val="24"/>
          <w:szCs w:val="24"/>
          <w:rtl/>
        </w:rPr>
        <w:t xml:space="preserve"> </w:t>
      </w:r>
      <w:r w:rsidR="00711B39">
        <w:rPr>
          <w:rFonts w:cs="David"/>
          <w:color w:val="auto"/>
          <w:sz w:val="24"/>
          <w:szCs w:val="24"/>
          <w:rtl/>
        </w:rPr>
        <w:t>–</w:t>
      </w:r>
      <w:r w:rsidR="00711B39">
        <w:rPr>
          <w:rFonts w:cs="David" w:hint="cs"/>
          <w:i/>
          <w:iCs/>
          <w:color w:val="auto"/>
          <w:sz w:val="22"/>
          <w:szCs w:val="22"/>
          <w:rtl/>
        </w:rPr>
        <w:t xml:space="preserve"> האם לקבוע סנקציות? אם כן </w:t>
      </w:r>
      <w:r w:rsidR="00711B39">
        <w:rPr>
          <w:rFonts w:cs="David"/>
          <w:i/>
          <w:iCs/>
          <w:color w:val="auto"/>
          <w:sz w:val="22"/>
          <w:szCs w:val="22"/>
          <w:rtl/>
        </w:rPr>
        <w:t>–</w:t>
      </w:r>
      <w:r w:rsidR="00711B39">
        <w:rPr>
          <w:rFonts w:cs="David" w:hint="cs"/>
          <w:i/>
          <w:iCs/>
          <w:color w:val="auto"/>
          <w:sz w:val="22"/>
          <w:szCs w:val="22"/>
          <w:rtl/>
        </w:rPr>
        <w:t xml:space="preserve"> מה סוג הסנקציות המתאים ? האם לקבוע חריגים בנסיבות מיוחדות ? </w:t>
      </w:r>
    </w:p>
    <w:p w:rsidR="00E84C32" w:rsidRPr="00E84C32" w:rsidRDefault="00E84C32" w:rsidP="00C828A0">
      <w:pPr>
        <w:pStyle w:val="a7"/>
        <w:numPr>
          <w:ilvl w:val="0"/>
          <w:numId w:val="9"/>
        </w:numPr>
        <w:spacing w:before="0" w:after="120" w:line="360" w:lineRule="auto"/>
        <w:rPr>
          <w:rFonts w:cs="David"/>
          <w:i/>
          <w:iCs/>
          <w:color w:val="auto"/>
          <w:sz w:val="22"/>
          <w:szCs w:val="22"/>
        </w:rPr>
      </w:pPr>
      <w:r w:rsidRPr="00C828A0">
        <w:rPr>
          <w:rFonts w:cs="David" w:hint="cs"/>
          <w:b/>
          <w:bCs/>
          <w:color w:val="auto"/>
          <w:sz w:val="24"/>
          <w:szCs w:val="24"/>
          <w:rtl/>
        </w:rPr>
        <w:t>תחולה</w:t>
      </w:r>
      <w:r>
        <w:rPr>
          <w:rFonts w:cs="David" w:hint="cs"/>
          <w:i/>
          <w:iCs/>
          <w:color w:val="auto"/>
          <w:sz w:val="22"/>
          <w:szCs w:val="22"/>
          <w:rtl/>
        </w:rPr>
        <w:t xml:space="preserve"> </w:t>
      </w:r>
      <w:r>
        <w:rPr>
          <w:rFonts w:cs="David"/>
          <w:i/>
          <w:iCs/>
          <w:color w:val="auto"/>
          <w:sz w:val="22"/>
          <w:szCs w:val="22"/>
          <w:rtl/>
        </w:rPr>
        <w:t>–</w:t>
      </w:r>
      <w:r>
        <w:rPr>
          <w:rFonts w:cs="David" w:hint="cs"/>
          <w:i/>
          <w:iCs/>
          <w:color w:val="auto"/>
          <w:sz w:val="22"/>
          <w:szCs w:val="22"/>
          <w:rtl/>
        </w:rPr>
        <w:t xml:space="preserve">  </w:t>
      </w:r>
      <w:r w:rsidR="00C828A0">
        <w:rPr>
          <w:rFonts w:cs="David" w:hint="cs"/>
          <w:i/>
          <w:iCs/>
          <w:color w:val="auto"/>
          <w:sz w:val="22"/>
          <w:szCs w:val="22"/>
          <w:rtl/>
        </w:rPr>
        <w:t>האם יש מניעה להחיל את המגבלות גם על חקירות שכבר החלו ? זאת, היות ומדובר בהוראות שתכליתן להגן על זכויות חשודים, ובלבד שהתקופות יימנו ממועד תחילתו של החוק ושיינתן לרשויות החקירה והתביעה די זמן להיערך להחלת המגבלות.</w:t>
      </w:r>
    </w:p>
    <w:p w:rsidR="00C25249" w:rsidRDefault="00C25249" w:rsidP="00C25249">
      <w:pPr>
        <w:spacing w:before="0" w:after="120" w:line="276" w:lineRule="auto"/>
        <w:ind w:firstLine="0"/>
        <w:rPr>
          <w:rFonts w:cs="David"/>
          <w:b/>
          <w:bCs/>
          <w:color w:val="auto"/>
          <w:sz w:val="22"/>
          <w:szCs w:val="22"/>
          <w:u w:val="single"/>
          <w:rtl/>
        </w:rPr>
      </w:pPr>
    </w:p>
    <w:p w:rsidR="00C25249" w:rsidRDefault="00C25249" w:rsidP="00C25249">
      <w:pPr>
        <w:spacing w:before="0" w:after="120" w:line="276" w:lineRule="auto"/>
        <w:ind w:firstLine="0"/>
        <w:rPr>
          <w:rFonts w:cs="David"/>
          <w:b/>
          <w:bCs/>
          <w:color w:val="auto"/>
          <w:sz w:val="22"/>
          <w:szCs w:val="22"/>
          <w:u w:val="single"/>
          <w:rtl/>
        </w:rPr>
      </w:pPr>
    </w:p>
    <w:p w:rsidR="00C25249" w:rsidRPr="005F0B54" w:rsidRDefault="00C25249" w:rsidP="00C25249">
      <w:pPr>
        <w:spacing w:before="0" w:after="120" w:line="276" w:lineRule="auto"/>
        <w:ind w:firstLine="0"/>
        <w:jc w:val="center"/>
        <w:rPr>
          <w:rFonts w:cs="David"/>
          <w:b/>
          <w:bCs/>
          <w:color w:val="auto"/>
          <w:sz w:val="22"/>
          <w:szCs w:val="22"/>
          <w:u w:val="single"/>
          <w:rtl/>
        </w:rPr>
      </w:pPr>
      <w:r w:rsidRPr="005F0B54">
        <w:rPr>
          <w:rFonts w:cs="David" w:hint="cs"/>
          <w:b/>
          <w:bCs/>
          <w:color w:val="auto"/>
          <w:sz w:val="22"/>
          <w:szCs w:val="22"/>
          <w:u w:val="single"/>
          <w:rtl/>
        </w:rPr>
        <w:t xml:space="preserve">נספח </w:t>
      </w:r>
      <w:r>
        <w:rPr>
          <w:rFonts w:cs="David" w:hint="cs"/>
          <w:b/>
          <w:bCs/>
          <w:color w:val="auto"/>
          <w:sz w:val="22"/>
          <w:szCs w:val="22"/>
          <w:u w:val="single"/>
          <w:rtl/>
        </w:rPr>
        <w:t>א</w:t>
      </w:r>
      <w:r w:rsidRPr="005F0B54">
        <w:rPr>
          <w:rFonts w:cs="David" w:hint="cs"/>
          <w:b/>
          <w:bCs/>
          <w:color w:val="auto"/>
          <w:sz w:val="22"/>
          <w:szCs w:val="22"/>
          <w:u w:val="single"/>
          <w:rtl/>
        </w:rPr>
        <w:t xml:space="preserve">' </w:t>
      </w:r>
    </w:p>
    <w:p w:rsidR="00C25249" w:rsidRPr="005F0B54" w:rsidRDefault="00C25249" w:rsidP="00C25249">
      <w:pPr>
        <w:spacing w:after="120" w:line="360" w:lineRule="auto"/>
        <w:rPr>
          <w:rFonts w:cs="David"/>
          <w:sz w:val="22"/>
          <w:szCs w:val="22"/>
        </w:rPr>
      </w:pPr>
      <w:r w:rsidRPr="005F0B54">
        <w:rPr>
          <w:rFonts w:cs="David" w:hint="cs"/>
          <w:sz w:val="22"/>
          <w:szCs w:val="22"/>
          <w:rtl/>
        </w:rPr>
        <w:t xml:space="preserve">הוראות חוק בישראל המגבילות משך חקירה או העמדה לדין: </w:t>
      </w:r>
    </w:p>
    <w:p w:rsidR="00C25249" w:rsidRPr="005F0B54" w:rsidRDefault="00C25249" w:rsidP="00C25249">
      <w:pPr>
        <w:pStyle w:val="a7"/>
        <w:numPr>
          <w:ilvl w:val="0"/>
          <w:numId w:val="4"/>
        </w:numPr>
        <w:spacing w:after="120" w:line="360" w:lineRule="auto"/>
        <w:ind w:left="985" w:hanging="294"/>
        <w:rPr>
          <w:rFonts w:cs="David"/>
          <w:sz w:val="22"/>
          <w:szCs w:val="22"/>
          <w:rtl/>
        </w:rPr>
      </w:pPr>
      <w:r w:rsidRPr="005F0B54">
        <w:rPr>
          <w:rFonts w:cs="David" w:hint="cs"/>
          <w:b/>
          <w:bCs/>
          <w:sz w:val="22"/>
          <w:szCs w:val="22"/>
          <w:rtl/>
        </w:rPr>
        <w:t xml:space="preserve">העמדה לדין של קטין מחייבת הסכמת היועץ המשפטי לממשלה בחלוף שנה מיום ביצוע </w:t>
      </w:r>
      <w:r w:rsidRPr="007714EE">
        <w:rPr>
          <w:rFonts w:cs="David" w:hint="cs"/>
          <w:b/>
          <w:bCs/>
          <w:sz w:val="22"/>
          <w:szCs w:val="22"/>
          <w:rtl/>
        </w:rPr>
        <w:t>העבירה</w:t>
      </w:r>
      <w:r w:rsidRPr="007714EE">
        <w:rPr>
          <w:rFonts w:cs="David" w:hint="cs"/>
          <w:sz w:val="22"/>
          <w:szCs w:val="22"/>
          <w:rtl/>
        </w:rPr>
        <w:t xml:space="preserve"> (ס' 14 לחוק הנוער (שפיטה, ענישה ודרכי טיפול), התשל"א-1971</w:t>
      </w:r>
      <w:r>
        <w:rPr>
          <w:rFonts w:cs="David" w:hint="cs"/>
          <w:sz w:val="22"/>
          <w:szCs w:val="22"/>
          <w:rtl/>
        </w:rPr>
        <w:t>)</w:t>
      </w:r>
      <w:r w:rsidRPr="007714EE">
        <w:rPr>
          <w:rFonts w:cs="David" w:hint="cs"/>
          <w:sz w:val="22"/>
          <w:szCs w:val="22"/>
          <w:rtl/>
        </w:rPr>
        <w:t xml:space="preserve"> </w:t>
      </w:r>
      <w:r w:rsidRPr="007714EE">
        <w:rPr>
          <w:rFonts w:cs="David"/>
          <w:sz w:val="22"/>
          <w:szCs w:val="22"/>
          <w:rtl/>
        </w:rPr>
        <w:t>–</w:t>
      </w:r>
      <w:r w:rsidRPr="007714EE">
        <w:rPr>
          <w:rFonts w:cs="David" w:hint="cs"/>
          <w:sz w:val="22"/>
          <w:szCs w:val="22"/>
          <w:rtl/>
        </w:rPr>
        <w:t xml:space="preserve"> התפיסה שביסוד</w:t>
      </w:r>
      <w:r w:rsidRPr="005F0B54">
        <w:rPr>
          <w:rFonts w:cs="David" w:hint="cs"/>
          <w:sz w:val="22"/>
          <w:szCs w:val="22"/>
          <w:rtl/>
        </w:rPr>
        <w:t xml:space="preserve"> המגבלה היא ש</w:t>
      </w:r>
      <w:r w:rsidRPr="005F0B54">
        <w:rPr>
          <w:rFonts w:cs="David"/>
          <w:sz w:val="22"/>
          <w:szCs w:val="22"/>
          <w:rtl/>
        </w:rPr>
        <w:t>משפט פלילי נגד</w:t>
      </w:r>
      <w:r w:rsidRPr="005F0B54">
        <w:rPr>
          <w:rFonts w:cs="David" w:hint="cs"/>
          <w:sz w:val="22"/>
          <w:szCs w:val="22"/>
          <w:rtl/>
        </w:rPr>
        <w:t xml:space="preserve"> קטין</w:t>
      </w:r>
      <w:r w:rsidRPr="005F0B54">
        <w:rPr>
          <w:rFonts w:cs="David"/>
          <w:sz w:val="22"/>
          <w:szCs w:val="22"/>
          <w:rtl/>
        </w:rPr>
        <w:t xml:space="preserve"> עשוי לאבד את ערכו אם אינו מתקיים סמוך ככל האפשר למועד ביצוע העבירה. </w:t>
      </w:r>
      <w:r w:rsidRPr="005F0B54">
        <w:rPr>
          <w:rFonts w:cs="David" w:hint="cs"/>
          <w:sz w:val="22"/>
          <w:szCs w:val="22"/>
          <w:rtl/>
        </w:rPr>
        <w:t>אישור להעמדה לדין בחלוף שנה יתבקש במקרים חריגים ביותר ובהתחשב ב</w:t>
      </w:r>
      <w:r w:rsidRPr="005F0B54">
        <w:rPr>
          <w:rFonts w:cs="David"/>
          <w:sz w:val="22"/>
          <w:szCs w:val="22"/>
          <w:rtl/>
        </w:rPr>
        <w:t>חומרת העבירה</w:t>
      </w:r>
      <w:r w:rsidRPr="005F0B54">
        <w:rPr>
          <w:rFonts w:cs="David" w:hint="cs"/>
          <w:sz w:val="22"/>
          <w:szCs w:val="22"/>
          <w:rtl/>
        </w:rPr>
        <w:t xml:space="preserve">, </w:t>
      </w:r>
      <w:r w:rsidRPr="005F0B54">
        <w:rPr>
          <w:rFonts w:cs="David"/>
          <w:sz w:val="22"/>
          <w:szCs w:val="22"/>
          <w:rtl/>
        </w:rPr>
        <w:t>גיל המבצע בעת ביצוע</w:t>
      </w:r>
      <w:r w:rsidRPr="005F0B54">
        <w:rPr>
          <w:rFonts w:cs="David" w:hint="cs"/>
          <w:sz w:val="22"/>
          <w:szCs w:val="22"/>
          <w:rtl/>
        </w:rPr>
        <w:t xml:space="preserve">ה, </w:t>
      </w:r>
      <w:r w:rsidRPr="005F0B54">
        <w:rPr>
          <w:rFonts w:cs="David"/>
          <w:sz w:val="22"/>
          <w:szCs w:val="22"/>
          <w:rtl/>
        </w:rPr>
        <w:t xml:space="preserve">פרק הזמן שחלף ממועד </w:t>
      </w:r>
      <w:r w:rsidRPr="005F0B54">
        <w:rPr>
          <w:rFonts w:cs="David" w:hint="cs"/>
          <w:sz w:val="22"/>
          <w:szCs w:val="22"/>
          <w:rtl/>
        </w:rPr>
        <w:t xml:space="preserve">ביצועה, </w:t>
      </w:r>
      <w:r w:rsidRPr="005F0B54">
        <w:rPr>
          <w:rFonts w:cs="David"/>
          <w:sz w:val="22"/>
          <w:szCs w:val="22"/>
          <w:rtl/>
        </w:rPr>
        <w:t>התפקיד שנטל הנאשם בביצוע העבירה</w:t>
      </w:r>
      <w:r w:rsidRPr="005F0B54">
        <w:rPr>
          <w:rFonts w:cs="David" w:hint="cs"/>
          <w:sz w:val="22"/>
          <w:szCs w:val="22"/>
          <w:rtl/>
        </w:rPr>
        <w:t xml:space="preserve">, מצב הראיות בתיק, </w:t>
      </w:r>
      <w:r w:rsidRPr="005F0B54">
        <w:rPr>
          <w:rFonts w:cs="David"/>
          <w:sz w:val="22"/>
          <w:szCs w:val="22"/>
          <w:rtl/>
        </w:rPr>
        <w:t>מצב הראיות בתיק</w:t>
      </w:r>
      <w:r w:rsidRPr="005F0B54">
        <w:rPr>
          <w:rFonts w:cs="David" w:hint="cs"/>
          <w:sz w:val="22"/>
          <w:szCs w:val="22"/>
          <w:rtl/>
        </w:rPr>
        <w:t xml:space="preserve"> וקיומו של </w:t>
      </w:r>
      <w:r w:rsidRPr="005F0B54">
        <w:rPr>
          <w:rFonts w:cs="David"/>
          <w:sz w:val="22"/>
          <w:szCs w:val="22"/>
          <w:rtl/>
        </w:rPr>
        <w:t>עבר פלילי קודם</w:t>
      </w:r>
      <w:r w:rsidRPr="005F0B54">
        <w:rPr>
          <w:rFonts w:cs="David" w:hint="cs"/>
          <w:sz w:val="22"/>
          <w:szCs w:val="22"/>
          <w:rtl/>
        </w:rPr>
        <w:t xml:space="preserve"> (הנחית היועמ"ש בעניין "</w:t>
      </w:r>
      <w:r w:rsidRPr="005F0B54">
        <w:rPr>
          <w:rFonts w:cs="David"/>
          <w:sz w:val="22"/>
          <w:szCs w:val="22"/>
          <w:rtl/>
        </w:rPr>
        <w:t>העמדת קטין לדין לאחר שחלפה שנה מיום ביצוע העבירה , והעמדת קטין ובגיר לדין יחדיו</w:t>
      </w:r>
      <w:r w:rsidRPr="005F0B54">
        <w:rPr>
          <w:rFonts w:cs="David" w:hint="cs"/>
          <w:sz w:val="22"/>
          <w:szCs w:val="22"/>
          <w:rtl/>
        </w:rPr>
        <w:t>")</w:t>
      </w:r>
      <w:r w:rsidRPr="005F0B54">
        <w:rPr>
          <w:rFonts w:cs="David"/>
          <w:sz w:val="22"/>
          <w:szCs w:val="22"/>
          <w:rtl/>
        </w:rPr>
        <w:t>.</w:t>
      </w:r>
      <w:r w:rsidRPr="005F0B54">
        <w:rPr>
          <w:rFonts w:cs="David" w:hint="cs"/>
          <w:sz w:val="22"/>
          <w:szCs w:val="22"/>
          <w:rtl/>
        </w:rPr>
        <w:t xml:space="preserve"> </w:t>
      </w:r>
    </w:p>
    <w:p w:rsidR="00C25249" w:rsidRPr="005F0B54" w:rsidRDefault="00C25249" w:rsidP="00C25249">
      <w:pPr>
        <w:pStyle w:val="a7"/>
        <w:numPr>
          <w:ilvl w:val="0"/>
          <w:numId w:val="4"/>
        </w:numPr>
        <w:spacing w:after="120" w:line="360" w:lineRule="auto"/>
        <w:ind w:left="985" w:hanging="294"/>
        <w:rPr>
          <w:rFonts w:cs="David"/>
          <w:sz w:val="22"/>
          <w:szCs w:val="22"/>
          <w:rtl/>
        </w:rPr>
      </w:pPr>
      <w:r w:rsidRPr="005F0B54">
        <w:rPr>
          <w:rFonts w:cs="David" w:hint="cs"/>
          <w:b/>
          <w:bCs/>
          <w:sz w:val="22"/>
          <w:szCs w:val="22"/>
          <w:rtl/>
        </w:rPr>
        <w:t>מגבלה של שנה להמצאת עבירת קנס</w:t>
      </w:r>
      <w:r w:rsidRPr="005F0B54">
        <w:rPr>
          <w:rFonts w:cs="David" w:hint="cs"/>
          <w:sz w:val="22"/>
          <w:szCs w:val="22"/>
          <w:rtl/>
        </w:rPr>
        <w:t xml:space="preserve"> (ס' 225א לחוק </w:t>
      </w:r>
      <w:r>
        <w:rPr>
          <w:rFonts w:cs="David" w:hint="cs"/>
          <w:sz w:val="22"/>
          <w:szCs w:val="22"/>
          <w:rtl/>
        </w:rPr>
        <w:t>סדר הדין הפלילי [נוסח משולב], התשמ"ב-1982</w:t>
      </w:r>
      <w:r w:rsidRPr="005F0B54">
        <w:rPr>
          <w:rFonts w:cs="David" w:hint="cs"/>
          <w:sz w:val="22"/>
          <w:szCs w:val="22"/>
          <w:rtl/>
        </w:rPr>
        <w:t xml:space="preserve">) </w:t>
      </w:r>
      <w:r w:rsidRPr="005F0B54">
        <w:rPr>
          <w:rFonts w:cs="David"/>
          <w:sz w:val="22"/>
          <w:szCs w:val="22"/>
          <w:rtl/>
        </w:rPr>
        <w:t>–</w:t>
      </w:r>
      <w:r w:rsidRPr="005F0B54">
        <w:rPr>
          <w:rFonts w:cs="David" w:hint="cs"/>
          <w:sz w:val="22"/>
          <w:szCs w:val="22"/>
          <w:rtl/>
        </w:rPr>
        <w:t xml:space="preserve"> זאת מהטעם ש</w:t>
      </w:r>
      <w:r w:rsidRPr="005F0B54">
        <w:rPr>
          <w:rFonts w:cs="David"/>
          <w:sz w:val="22"/>
          <w:szCs w:val="22"/>
          <w:rtl/>
        </w:rPr>
        <w:t>מדובר בעבירות קלות ולכן יש לאפשר לאזרח להציג את הגנתו סמוך ככל הניתן לאירוע המיוחס לו</w:t>
      </w:r>
      <w:r w:rsidRPr="005F0B54">
        <w:rPr>
          <w:rFonts w:cs="David" w:hint="cs"/>
          <w:sz w:val="22"/>
          <w:szCs w:val="22"/>
          <w:rtl/>
        </w:rPr>
        <w:t xml:space="preserve">. </w:t>
      </w:r>
    </w:p>
    <w:p w:rsidR="00C25249" w:rsidRPr="005F0B54" w:rsidRDefault="00C25249" w:rsidP="00C25249">
      <w:pPr>
        <w:pStyle w:val="a7"/>
        <w:numPr>
          <w:ilvl w:val="0"/>
          <w:numId w:val="4"/>
        </w:numPr>
        <w:spacing w:after="120" w:line="360" w:lineRule="auto"/>
        <w:ind w:left="985" w:hanging="294"/>
        <w:rPr>
          <w:rFonts w:cs="David"/>
          <w:sz w:val="22"/>
          <w:szCs w:val="22"/>
        </w:rPr>
      </w:pPr>
      <w:r w:rsidRPr="005F0B54">
        <w:rPr>
          <w:rFonts w:cs="David" w:hint="cs"/>
          <w:b/>
          <w:bCs/>
          <w:sz w:val="22"/>
          <w:szCs w:val="22"/>
          <w:rtl/>
        </w:rPr>
        <w:t>מגבלה על מועד נקיטת הליכים בשל עבירה לפי פקודת פשיטת רגל</w:t>
      </w:r>
      <w:r w:rsidRPr="005F0B54">
        <w:rPr>
          <w:rFonts w:cs="David" w:hint="cs"/>
          <w:sz w:val="22"/>
          <w:szCs w:val="22"/>
          <w:rtl/>
        </w:rPr>
        <w:t xml:space="preserve"> </w:t>
      </w:r>
      <w:r w:rsidRPr="005F0B54">
        <w:rPr>
          <w:rFonts w:cs="David"/>
          <w:sz w:val="22"/>
          <w:szCs w:val="22"/>
          <w:rtl/>
        </w:rPr>
        <w:t>–</w:t>
      </w:r>
      <w:r w:rsidRPr="005F0B54">
        <w:rPr>
          <w:rFonts w:cs="David" w:hint="cs"/>
          <w:sz w:val="22"/>
          <w:szCs w:val="22"/>
          <w:rtl/>
        </w:rPr>
        <w:t xml:space="preserve"> שלוש שנים מיום ביצוע העבירה  (ס' 228 לפקודת פש</w:t>
      </w:r>
      <w:r>
        <w:rPr>
          <w:rFonts w:cs="David" w:hint="cs"/>
          <w:sz w:val="22"/>
          <w:szCs w:val="22"/>
          <w:rtl/>
        </w:rPr>
        <w:t>יטת הרגל</w:t>
      </w:r>
      <w:r w:rsidRPr="005F0B54">
        <w:rPr>
          <w:rFonts w:cs="David" w:hint="cs"/>
          <w:sz w:val="22"/>
          <w:szCs w:val="22"/>
          <w:rtl/>
        </w:rPr>
        <w:t>)</w:t>
      </w:r>
    </w:p>
    <w:p w:rsidR="00A048CF" w:rsidRPr="00C25249" w:rsidRDefault="00A048CF" w:rsidP="00771A78">
      <w:pPr>
        <w:pStyle w:val="a7"/>
        <w:spacing w:before="0" w:after="120" w:line="360" w:lineRule="auto"/>
        <w:ind w:left="1440" w:firstLine="0"/>
        <w:rPr>
          <w:rFonts w:cs="David"/>
          <w:color w:val="auto"/>
          <w:sz w:val="24"/>
          <w:szCs w:val="24"/>
        </w:rPr>
      </w:pPr>
    </w:p>
    <w:p w:rsidR="00C828A0" w:rsidRDefault="00C828A0">
      <w:pPr>
        <w:widowControl/>
        <w:autoSpaceDE/>
        <w:autoSpaceDN/>
        <w:bidi w:val="0"/>
        <w:adjustRightInd/>
        <w:spacing w:before="0" w:after="160" w:line="259" w:lineRule="auto"/>
        <w:ind w:firstLine="0"/>
        <w:jc w:val="left"/>
        <w:textAlignment w:val="auto"/>
        <w:rPr>
          <w:rFonts w:cs="David"/>
          <w:b/>
          <w:bCs/>
          <w:sz w:val="22"/>
          <w:szCs w:val="22"/>
        </w:rPr>
      </w:pPr>
      <w:r>
        <w:rPr>
          <w:rFonts w:cs="David"/>
          <w:b/>
          <w:bCs/>
          <w:sz w:val="22"/>
          <w:szCs w:val="22"/>
          <w:rtl/>
        </w:rPr>
        <w:br w:type="page"/>
      </w:r>
    </w:p>
    <w:p w:rsidR="00677C16" w:rsidRPr="00C25249" w:rsidRDefault="00677C16" w:rsidP="00C25249">
      <w:pPr>
        <w:spacing w:line="276" w:lineRule="auto"/>
        <w:ind w:firstLine="0"/>
        <w:jc w:val="center"/>
        <w:rPr>
          <w:rFonts w:cs="David"/>
          <w:b/>
          <w:bCs/>
          <w:sz w:val="22"/>
          <w:szCs w:val="22"/>
          <w:u w:val="single"/>
          <w:rtl/>
        </w:rPr>
      </w:pPr>
      <w:r w:rsidRPr="00C25249">
        <w:rPr>
          <w:rFonts w:cs="David" w:hint="cs"/>
          <w:b/>
          <w:bCs/>
          <w:sz w:val="22"/>
          <w:szCs w:val="22"/>
          <w:u w:val="single"/>
          <w:rtl/>
        </w:rPr>
        <w:t>נספח</w:t>
      </w:r>
      <w:r w:rsidR="005F0B54" w:rsidRPr="00C25249">
        <w:rPr>
          <w:rFonts w:cs="David" w:hint="cs"/>
          <w:b/>
          <w:bCs/>
          <w:sz w:val="22"/>
          <w:szCs w:val="22"/>
          <w:u w:val="single"/>
          <w:rtl/>
        </w:rPr>
        <w:t xml:space="preserve"> </w:t>
      </w:r>
      <w:r w:rsidR="00C25249" w:rsidRPr="00C25249">
        <w:rPr>
          <w:rFonts w:cs="David" w:hint="cs"/>
          <w:b/>
          <w:bCs/>
          <w:sz w:val="22"/>
          <w:szCs w:val="22"/>
          <w:u w:val="single"/>
          <w:rtl/>
        </w:rPr>
        <w:t>ב</w:t>
      </w:r>
      <w:r w:rsidR="005F0B54" w:rsidRPr="00C25249">
        <w:rPr>
          <w:rFonts w:cs="David" w:hint="cs"/>
          <w:b/>
          <w:bCs/>
          <w:sz w:val="22"/>
          <w:szCs w:val="22"/>
          <w:u w:val="single"/>
          <w:rtl/>
        </w:rPr>
        <w:t xml:space="preserve">' </w:t>
      </w:r>
    </w:p>
    <w:p w:rsidR="00780228" w:rsidRDefault="003E1CCC" w:rsidP="003E1CCC">
      <w:pPr>
        <w:spacing w:line="276" w:lineRule="auto"/>
        <w:ind w:firstLine="0"/>
        <w:rPr>
          <w:rFonts w:cs="David"/>
          <w:b/>
          <w:bCs/>
          <w:sz w:val="22"/>
          <w:szCs w:val="22"/>
          <w:rtl/>
        </w:rPr>
      </w:pPr>
      <w:r w:rsidRPr="003E1CCC">
        <w:rPr>
          <w:rFonts w:cs="David" w:hint="cs"/>
          <w:b/>
          <w:bCs/>
          <w:sz w:val="22"/>
          <w:szCs w:val="22"/>
          <w:rtl/>
        </w:rPr>
        <w:t xml:space="preserve">פירוט </w:t>
      </w:r>
      <w:r w:rsidR="00751D42" w:rsidRPr="003E1CCC">
        <w:rPr>
          <w:rFonts w:cs="David" w:hint="cs"/>
          <w:b/>
          <w:bCs/>
          <w:sz w:val="22"/>
          <w:szCs w:val="22"/>
          <w:rtl/>
        </w:rPr>
        <w:t>ההסדרים המוצעים בהצע</w:t>
      </w:r>
      <w:r w:rsidRPr="003E1CCC">
        <w:rPr>
          <w:rFonts w:cs="David" w:hint="cs"/>
          <w:b/>
          <w:bCs/>
          <w:sz w:val="22"/>
          <w:szCs w:val="22"/>
          <w:rtl/>
        </w:rPr>
        <w:t>ו</w:t>
      </w:r>
      <w:r w:rsidR="00751D42" w:rsidRPr="003E1CCC">
        <w:rPr>
          <w:rFonts w:cs="David" w:hint="cs"/>
          <w:b/>
          <w:bCs/>
          <w:sz w:val="22"/>
          <w:szCs w:val="22"/>
          <w:rtl/>
        </w:rPr>
        <w:t>ת החוק</w:t>
      </w:r>
      <w:r w:rsidRPr="003E1CCC">
        <w:rPr>
          <w:rFonts w:cs="David" w:hint="cs"/>
          <w:b/>
          <w:bCs/>
          <w:sz w:val="22"/>
          <w:szCs w:val="22"/>
          <w:rtl/>
        </w:rPr>
        <w:t xml:space="preserve"> הפרטיות מול ההסדרים</w:t>
      </w:r>
      <w:r w:rsidR="00751D42" w:rsidRPr="003E1CCC">
        <w:rPr>
          <w:rFonts w:cs="David" w:hint="cs"/>
          <w:b/>
          <w:bCs/>
          <w:sz w:val="22"/>
          <w:szCs w:val="22"/>
          <w:rtl/>
        </w:rPr>
        <w:t xml:space="preserve"> בהנחית היועמ"ש ובנ</w:t>
      </w:r>
      <w:r w:rsidRPr="003E1CCC">
        <w:rPr>
          <w:rFonts w:cs="David" w:hint="cs"/>
          <w:b/>
          <w:bCs/>
          <w:sz w:val="22"/>
          <w:szCs w:val="22"/>
          <w:rtl/>
        </w:rPr>
        <w:t>והל</w:t>
      </w:r>
      <w:r w:rsidR="00751D42" w:rsidRPr="003E1CCC">
        <w:rPr>
          <w:rFonts w:cs="David" w:hint="cs"/>
          <w:b/>
          <w:bCs/>
          <w:sz w:val="22"/>
          <w:szCs w:val="22"/>
          <w:rtl/>
        </w:rPr>
        <w:t xml:space="preserve"> אח"מ </w:t>
      </w:r>
    </w:p>
    <w:p w:rsidR="003E1CCC" w:rsidRPr="003E1CCC" w:rsidRDefault="003E1CCC" w:rsidP="003E1CCC">
      <w:pPr>
        <w:spacing w:line="276" w:lineRule="auto"/>
        <w:ind w:firstLine="0"/>
        <w:rPr>
          <w:rFonts w:cs="David"/>
          <w:b/>
          <w:bCs/>
          <w:sz w:val="22"/>
          <w:szCs w:val="22"/>
          <w:rtl/>
        </w:rPr>
      </w:pPr>
    </w:p>
    <w:tbl>
      <w:tblPr>
        <w:tblStyle w:val="a6"/>
        <w:bidiVisual/>
        <w:tblW w:w="9781" w:type="dxa"/>
        <w:tblInd w:w="217" w:type="dxa"/>
        <w:tblLook w:val="04A0" w:firstRow="1" w:lastRow="0" w:firstColumn="1" w:lastColumn="0" w:noHBand="0" w:noVBand="1"/>
      </w:tblPr>
      <w:tblGrid>
        <w:gridCol w:w="991"/>
        <w:gridCol w:w="3224"/>
        <w:gridCol w:w="3298"/>
        <w:gridCol w:w="2268"/>
      </w:tblGrid>
      <w:tr w:rsidR="00AD4001" w:rsidRPr="00535DAA" w:rsidTr="00962A0A">
        <w:tc>
          <w:tcPr>
            <w:tcW w:w="991" w:type="dxa"/>
            <w:shd w:val="clear" w:color="auto" w:fill="BFBFBF" w:themeFill="background1" w:themeFillShade="BF"/>
          </w:tcPr>
          <w:p w:rsidR="006E6BAC" w:rsidRPr="00535DAA" w:rsidRDefault="00780228" w:rsidP="00F44281">
            <w:pPr>
              <w:spacing w:line="276" w:lineRule="auto"/>
              <w:ind w:firstLine="0"/>
              <w:rPr>
                <w:rFonts w:cs="David"/>
                <w:sz w:val="20"/>
                <w:szCs w:val="20"/>
                <w:rtl/>
              </w:rPr>
            </w:pPr>
            <w:r w:rsidRPr="00535DAA">
              <w:rPr>
                <w:rFonts w:cs="David" w:hint="cs"/>
                <w:sz w:val="20"/>
                <w:szCs w:val="20"/>
                <w:rtl/>
              </w:rPr>
              <w:t xml:space="preserve">נושא </w:t>
            </w:r>
          </w:p>
        </w:tc>
        <w:tc>
          <w:tcPr>
            <w:tcW w:w="3224" w:type="dxa"/>
            <w:shd w:val="clear" w:color="auto" w:fill="BFBFBF" w:themeFill="background1" w:themeFillShade="BF"/>
          </w:tcPr>
          <w:p w:rsidR="006E6BAC" w:rsidRPr="00535DAA" w:rsidRDefault="006E6BAC" w:rsidP="00F44281">
            <w:pPr>
              <w:spacing w:line="276" w:lineRule="auto"/>
              <w:ind w:firstLine="0"/>
              <w:rPr>
                <w:rFonts w:cs="David"/>
                <w:sz w:val="20"/>
                <w:szCs w:val="20"/>
                <w:rtl/>
              </w:rPr>
            </w:pPr>
            <w:r w:rsidRPr="00535DAA">
              <w:rPr>
                <w:rFonts w:cs="David" w:hint="cs"/>
                <w:sz w:val="20"/>
                <w:szCs w:val="20"/>
                <w:rtl/>
              </w:rPr>
              <w:t xml:space="preserve">ההסדר המוצע בהצעות החוק </w:t>
            </w:r>
            <w:r w:rsidR="00962E5D" w:rsidRPr="00535DAA">
              <w:rPr>
                <w:rFonts w:cs="David" w:hint="cs"/>
                <w:sz w:val="20"/>
                <w:szCs w:val="20"/>
                <w:rtl/>
              </w:rPr>
              <w:t>הפרטיות</w:t>
            </w:r>
          </w:p>
        </w:tc>
        <w:tc>
          <w:tcPr>
            <w:tcW w:w="3298" w:type="dxa"/>
            <w:shd w:val="clear" w:color="auto" w:fill="BFBFBF" w:themeFill="background1" w:themeFillShade="BF"/>
          </w:tcPr>
          <w:p w:rsidR="006E6BAC" w:rsidRPr="00535DAA" w:rsidRDefault="006E6BAC" w:rsidP="00F44281">
            <w:pPr>
              <w:spacing w:line="276" w:lineRule="auto"/>
              <w:ind w:firstLine="0"/>
              <w:rPr>
                <w:rFonts w:cs="David"/>
                <w:sz w:val="20"/>
                <w:szCs w:val="20"/>
                <w:rtl/>
              </w:rPr>
            </w:pPr>
            <w:r w:rsidRPr="00535DAA">
              <w:rPr>
                <w:rFonts w:cs="David" w:hint="cs"/>
                <w:sz w:val="20"/>
                <w:szCs w:val="20"/>
                <w:rtl/>
              </w:rPr>
              <w:t xml:space="preserve">ההסדר המוצע בהנחיות יועמ"ש / נוהלי אח"מ </w:t>
            </w:r>
          </w:p>
        </w:tc>
        <w:tc>
          <w:tcPr>
            <w:tcW w:w="2268" w:type="dxa"/>
            <w:shd w:val="clear" w:color="auto" w:fill="BFBFBF" w:themeFill="background1" w:themeFillShade="BF"/>
          </w:tcPr>
          <w:p w:rsidR="006E6BAC" w:rsidRPr="00535DAA" w:rsidRDefault="006E6BAC" w:rsidP="00F44281">
            <w:pPr>
              <w:spacing w:line="276" w:lineRule="auto"/>
              <w:ind w:firstLine="0"/>
              <w:rPr>
                <w:rFonts w:cs="David"/>
                <w:sz w:val="20"/>
                <w:szCs w:val="20"/>
                <w:rtl/>
              </w:rPr>
            </w:pPr>
            <w:r w:rsidRPr="00535DAA">
              <w:rPr>
                <w:rFonts w:cs="David" w:hint="cs"/>
                <w:sz w:val="20"/>
                <w:szCs w:val="20"/>
                <w:rtl/>
              </w:rPr>
              <w:t xml:space="preserve">הערות </w:t>
            </w:r>
          </w:p>
        </w:tc>
      </w:tr>
      <w:tr w:rsidR="00AD4001" w:rsidRPr="00535DAA" w:rsidTr="00962A0A">
        <w:tc>
          <w:tcPr>
            <w:tcW w:w="991" w:type="dxa"/>
            <w:shd w:val="clear" w:color="auto" w:fill="BFBFBF" w:themeFill="background1" w:themeFillShade="BF"/>
          </w:tcPr>
          <w:p w:rsidR="006E6BAC" w:rsidRPr="00535DAA" w:rsidRDefault="00780228" w:rsidP="00F44281">
            <w:pPr>
              <w:spacing w:line="276" w:lineRule="auto"/>
              <w:ind w:firstLine="0"/>
              <w:rPr>
                <w:rFonts w:cs="David"/>
                <w:sz w:val="20"/>
                <w:szCs w:val="20"/>
                <w:rtl/>
              </w:rPr>
            </w:pPr>
            <w:r w:rsidRPr="00535DAA">
              <w:rPr>
                <w:rFonts w:cs="David" w:hint="cs"/>
                <w:sz w:val="20"/>
                <w:szCs w:val="20"/>
                <w:rtl/>
              </w:rPr>
              <w:t xml:space="preserve">משך החקירה -העקרון הכללי </w:t>
            </w:r>
          </w:p>
        </w:tc>
        <w:tc>
          <w:tcPr>
            <w:tcW w:w="3224" w:type="dxa"/>
          </w:tcPr>
          <w:p w:rsidR="00F62189" w:rsidRPr="00535DAA" w:rsidRDefault="00780228" w:rsidP="00780228">
            <w:pPr>
              <w:pStyle w:val="P00"/>
              <w:tabs>
                <w:tab w:val="clear" w:pos="1021"/>
                <w:tab w:val="left" w:pos="1375"/>
                <w:tab w:val="left" w:pos="1659"/>
              </w:tabs>
              <w:spacing w:before="72"/>
              <w:ind w:left="0" w:right="135"/>
              <w:rPr>
                <w:rStyle w:val="default"/>
                <w:rFonts w:cs="David"/>
                <w:sz w:val="20"/>
                <w:szCs w:val="20"/>
                <w:rtl/>
              </w:rPr>
            </w:pPr>
            <w:r w:rsidRPr="00535DAA">
              <w:rPr>
                <w:rStyle w:val="default"/>
                <w:rFonts w:cs="David" w:hint="cs"/>
                <w:sz w:val="20"/>
                <w:szCs w:val="20"/>
                <w:rtl/>
              </w:rPr>
              <w:t>59</w:t>
            </w:r>
            <w:r w:rsidR="00F62189" w:rsidRPr="00535DAA">
              <w:rPr>
                <w:rStyle w:val="default"/>
                <w:rFonts w:cs="David" w:hint="cs"/>
                <w:sz w:val="20"/>
                <w:szCs w:val="20"/>
                <w:rtl/>
              </w:rPr>
              <w:t>...</w:t>
            </w:r>
          </w:p>
          <w:p w:rsidR="006E6BAC" w:rsidRPr="00535DAA" w:rsidRDefault="00780228" w:rsidP="00780228">
            <w:pPr>
              <w:pStyle w:val="P00"/>
              <w:tabs>
                <w:tab w:val="clear" w:pos="1021"/>
                <w:tab w:val="left" w:pos="1375"/>
                <w:tab w:val="left" w:pos="1659"/>
              </w:tabs>
              <w:spacing w:before="72"/>
              <w:ind w:left="0" w:right="135"/>
              <w:rPr>
                <w:rFonts w:cs="David"/>
                <w:szCs w:val="20"/>
                <w:rtl/>
              </w:rPr>
            </w:pPr>
            <w:r w:rsidRPr="00535DAA">
              <w:rPr>
                <w:rStyle w:val="default"/>
                <w:rFonts w:cs="David" w:hint="cs"/>
                <w:sz w:val="20"/>
                <w:szCs w:val="20"/>
                <w:rtl/>
              </w:rPr>
              <w:t>(ב) (1) משך זמן החקירה המשטרתית לא יעלה על פרק הזמן הקצר ביותר הדרוש לבירור העניין החל מיום פתיחת החקירה, ובכל מקרה לא יעלה על תקופת הזמן הקבועה בפסקה (2).</w:t>
            </w:r>
          </w:p>
        </w:tc>
        <w:tc>
          <w:tcPr>
            <w:tcW w:w="3298" w:type="dxa"/>
          </w:tcPr>
          <w:p w:rsidR="006E6BAC" w:rsidRPr="00535DAA" w:rsidRDefault="00780228" w:rsidP="00F44281">
            <w:pPr>
              <w:spacing w:line="276" w:lineRule="auto"/>
              <w:ind w:firstLine="0"/>
              <w:rPr>
                <w:rFonts w:cs="David"/>
                <w:sz w:val="20"/>
                <w:szCs w:val="20"/>
                <w:rtl/>
              </w:rPr>
            </w:pPr>
            <w:r w:rsidRPr="00535DAA">
              <w:rPr>
                <w:rFonts w:cs="David" w:hint="cs"/>
                <w:sz w:val="20"/>
                <w:szCs w:val="20"/>
                <w:rtl/>
              </w:rPr>
              <w:t>2.א. ככלל יש לסיים חקירה פלילית בהקדם האפשרי ובמסגרת פרקי הזמן המפורטים בהנחיה זו</w:t>
            </w:r>
            <w:r w:rsidR="004D1B77" w:rsidRPr="00535DAA">
              <w:rPr>
                <w:rFonts w:cs="David" w:hint="cs"/>
                <w:sz w:val="20"/>
                <w:szCs w:val="20"/>
                <w:rtl/>
              </w:rPr>
              <w:t xml:space="preserve"> </w:t>
            </w:r>
          </w:p>
        </w:tc>
        <w:tc>
          <w:tcPr>
            <w:tcW w:w="2268" w:type="dxa"/>
          </w:tcPr>
          <w:p w:rsidR="006E6BAC" w:rsidRPr="00535DAA" w:rsidRDefault="00962E5D" w:rsidP="00F44281">
            <w:pPr>
              <w:spacing w:line="276" w:lineRule="auto"/>
              <w:ind w:firstLine="0"/>
              <w:rPr>
                <w:rFonts w:cs="David"/>
                <w:sz w:val="20"/>
                <w:szCs w:val="20"/>
                <w:rtl/>
              </w:rPr>
            </w:pPr>
            <w:r w:rsidRPr="00535DAA">
              <w:rPr>
                <w:rFonts w:cs="David" w:hint="cs"/>
                <w:sz w:val="20"/>
                <w:szCs w:val="20"/>
                <w:rtl/>
              </w:rPr>
              <w:t xml:space="preserve"> </w:t>
            </w:r>
            <w:r w:rsidR="00F50BCD" w:rsidRPr="00535DAA">
              <w:rPr>
                <w:rFonts w:cs="David" w:hint="cs"/>
                <w:sz w:val="20"/>
                <w:szCs w:val="20"/>
                <w:rtl/>
              </w:rPr>
              <w:t>זהה</w:t>
            </w:r>
          </w:p>
        </w:tc>
      </w:tr>
      <w:tr w:rsidR="00AD4001" w:rsidRPr="00535DAA" w:rsidTr="00962A0A">
        <w:tc>
          <w:tcPr>
            <w:tcW w:w="991" w:type="dxa"/>
            <w:shd w:val="clear" w:color="auto" w:fill="BFBFBF" w:themeFill="background1" w:themeFillShade="BF"/>
          </w:tcPr>
          <w:p w:rsidR="006E6BAC" w:rsidRPr="00535DAA" w:rsidRDefault="00780228" w:rsidP="00F44281">
            <w:pPr>
              <w:spacing w:line="276" w:lineRule="auto"/>
              <w:ind w:firstLine="0"/>
              <w:rPr>
                <w:rFonts w:cs="David"/>
                <w:sz w:val="20"/>
                <w:szCs w:val="20"/>
                <w:rtl/>
              </w:rPr>
            </w:pPr>
            <w:r w:rsidRPr="00535DAA">
              <w:rPr>
                <w:rFonts w:cs="David" w:hint="cs"/>
                <w:sz w:val="20"/>
                <w:szCs w:val="20"/>
                <w:rtl/>
              </w:rPr>
              <w:t xml:space="preserve">מגבלות על משך החקירה </w:t>
            </w:r>
          </w:p>
        </w:tc>
        <w:tc>
          <w:tcPr>
            <w:tcW w:w="3224" w:type="dxa"/>
          </w:tcPr>
          <w:p w:rsidR="00780228" w:rsidRPr="00535DAA" w:rsidRDefault="00F62189" w:rsidP="00962E5D">
            <w:pPr>
              <w:pStyle w:val="P00"/>
              <w:tabs>
                <w:tab w:val="clear" w:pos="1928"/>
                <w:tab w:val="left" w:pos="2302"/>
              </w:tabs>
              <w:spacing w:before="72"/>
              <w:ind w:left="0"/>
              <w:rPr>
                <w:rStyle w:val="default"/>
                <w:rFonts w:cs="David"/>
                <w:sz w:val="20"/>
                <w:szCs w:val="20"/>
                <w:rtl/>
              </w:rPr>
            </w:pPr>
            <w:r w:rsidRPr="00535DAA">
              <w:rPr>
                <w:rStyle w:val="default"/>
                <w:rFonts w:cs="David" w:hint="cs"/>
                <w:sz w:val="20"/>
                <w:szCs w:val="20"/>
                <w:rtl/>
              </w:rPr>
              <w:t>59(ב)</w:t>
            </w:r>
            <w:r w:rsidR="00780228" w:rsidRPr="00535DAA">
              <w:rPr>
                <w:rStyle w:val="default"/>
                <w:rFonts w:cs="David" w:hint="cs"/>
                <w:sz w:val="20"/>
                <w:szCs w:val="20"/>
                <w:rtl/>
              </w:rPr>
              <w:t>(2) משך החקירה המשטרתית לא יעלה על התקופות המנויות להלן</w:t>
            </w:r>
            <w:r w:rsidR="00962E5D" w:rsidRPr="00535DAA">
              <w:rPr>
                <w:rStyle w:val="default"/>
                <w:rFonts w:cs="David" w:hint="cs"/>
                <w:sz w:val="20"/>
                <w:szCs w:val="20"/>
                <w:rtl/>
              </w:rPr>
              <w:t xml:space="preserve"> מיום פתיחת החקירה</w:t>
            </w:r>
            <w:r w:rsidR="00780228" w:rsidRPr="00535DAA">
              <w:rPr>
                <w:rStyle w:val="default"/>
                <w:rFonts w:cs="David" w:hint="cs"/>
                <w:sz w:val="20"/>
                <w:szCs w:val="20"/>
                <w:rtl/>
              </w:rPr>
              <w:t xml:space="preserve">: </w:t>
            </w:r>
          </w:p>
          <w:p w:rsidR="00780228" w:rsidRPr="00535DAA" w:rsidRDefault="00780228" w:rsidP="00962E5D">
            <w:pPr>
              <w:pStyle w:val="P00"/>
              <w:tabs>
                <w:tab w:val="clear" w:pos="624"/>
                <w:tab w:val="clear" w:pos="1928"/>
                <w:tab w:val="left" w:pos="2302"/>
              </w:tabs>
              <w:spacing w:before="72"/>
              <w:ind w:left="176"/>
              <w:rPr>
                <w:rStyle w:val="default"/>
                <w:rFonts w:cs="David"/>
                <w:b/>
                <w:bCs/>
                <w:sz w:val="20"/>
                <w:szCs w:val="20"/>
                <w:rtl/>
              </w:rPr>
            </w:pPr>
            <w:r w:rsidRPr="00535DAA">
              <w:rPr>
                <w:rStyle w:val="default"/>
                <w:rFonts w:cs="David" w:hint="cs"/>
                <w:sz w:val="20"/>
                <w:szCs w:val="20"/>
                <w:rtl/>
              </w:rPr>
              <w:t xml:space="preserve">(א) בעבירה מסוג חטא </w:t>
            </w:r>
            <w:r w:rsidRPr="00535DAA">
              <w:rPr>
                <w:rStyle w:val="default"/>
                <w:rFonts w:cs="David"/>
                <w:sz w:val="20"/>
                <w:szCs w:val="20"/>
                <w:rtl/>
              </w:rPr>
              <w:t>–</w:t>
            </w:r>
            <w:r w:rsidRPr="00535DAA">
              <w:rPr>
                <w:rStyle w:val="default"/>
                <w:rFonts w:cs="David" w:hint="cs"/>
                <w:sz w:val="20"/>
                <w:szCs w:val="20"/>
                <w:rtl/>
              </w:rPr>
              <w:t xml:space="preserve"> </w:t>
            </w:r>
            <w:r w:rsidRPr="00535DAA">
              <w:rPr>
                <w:rStyle w:val="default"/>
                <w:rFonts w:cs="David" w:hint="cs"/>
                <w:b/>
                <w:bCs/>
                <w:sz w:val="20"/>
                <w:szCs w:val="20"/>
                <w:rtl/>
              </w:rPr>
              <w:t>עד שישה חודשים;</w:t>
            </w:r>
          </w:p>
          <w:p w:rsidR="00780228" w:rsidRPr="00535DAA" w:rsidRDefault="00780228" w:rsidP="00962E5D">
            <w:pPr>
              <w:pStyle w:val="P00"/>
              <w:tabs>
                <w:tab w:val="clear" w:pos="624"/>
                <w:tab w:val="clear" w:pos="1928"/>
                <w:tab w:val="left" w:pos="2160"/>
              </w:tabs>
              <w:spacing w:before="72"/>
              <w:ind w:left="176"/>
              <w:rPr>
                <w:rStyle w:val="default"/>
                <w:rFonts w:cs="David"/>
                <w:sz w:val="20"/>
                <w:szCs w:val="20"/>
                <w:rtl/>
              </w:rPr>
            </w:pPr>
            <w:r w:rsidRPr="00535DAA">
              <w:rPr>
                <w:rStyle w:val="default"/>
                <w:rFonts w:cs="David" w:hint="cs"/>
                <w:sz w:val="20"/>
                <w:szCs w:val="20"/>
                <w:rtl/>
              </w:rPr>
              <w:t xml:space="preserve">(ב) בעבירה מסוג עוון </w:t>
            </w:r>
            <w:r w:rsidRPr="00535DAA">
              <w:rPr>
                <w:rStyle w:val="default"/>
                <w:rFonts w:cs="David"/>
                <w:sz w:val="20"/>
                <w:szCs w:val="20"/>
                <w:rtl/>
              </w:rPr>
              <w:t>–</w:t>
            </w:r>
            <w:r w:rsidRPr="00535DAA">
              <w:rPr>
                <w:rStyle w:val="default"/>
                <w:rFonts w:cs="David" w:hint="cs"/>
                <w:sz w:val="20"/>
                <w:szCs w:val="20"/>
                <w:rtl/>
              </w:rPr>
              <w:t xml:space="preserve"> </w:t>
            </w:r>
            <w:r w:rsidRPr="00535DAA">
              <w:rPr>
                <w:rStyle w:val="default"/>
                <w:rFonts w:cs="David" w:hint="cs"/>
                <w:b/>
                <w:bCs/>
                <w:sz w:val="20"/>
                <w:szCs w:val="20"/>
                <w:rtl/>
              </w:rPr>
              <w:t>עד שנה</w:t>
            </w:r>
            <w:r w:rsidRPr="00535DAA">
              <w:rPr>
                <w:rStyle w:val="default"/>
                <w:rFonts w:cs="David" w:hint="cs"/>
                <w:sz w:val="20"/>
                <w:szCs w:val="20"/>
                <w:rtl/>
              </w:rPr>
              <w:t>;</w:t>
            </w:r>
          </w:p>
          <w:p w:rsidR="00780228" w:rsidRPr="00535DAA" w:rsidRDefault="00780228" w:rsidP="00962E5D">
            <w:pPr>
              <w:pStyle w:val="P00"/>
              <w:spacing w:before="72"/>
              <w:ind w:left="176"/>
              <w:rPr>
                <w:rStyle w:val="default"/>
                <w:rFonts w:cs="David"/>
                <w:sz w:val="20"/>
                <w:szCs w:val="20"/>
                <w:rtl/>
              </w:rPr>
            </w:pPr>
            <w:r w:rsidRPr="00535DAA">
              <w:rPr>
                <w:rStyle w:val="default"/>
                <w:rFonts w:cs="David" w:hint="cs"/>
                <w:sz w:val="20"/>
                <w:szCs w:val="20"/>
                <w:rtl/>
              </w:rPr>
              <w:t xml:space="preserve">(ג) בעבירה שדינה מאסר לפחות שלוש שנים ולא יותר מעשר שנים </w:t>
            </w:r>
            <w:r w:rsidRPr="00535DAA">
              <w:rPr>
                <w:rStyle w:val="default"/>
                <w:rFonts w:cs="David"/>
                <w:sz w:val="20"/>
                <w:szCs w:val="20"/>
                <w:rtl/>
              </w:rPr>
              <w:t>–</w:t>
            </w:r>
            <w:r w:rsidRPr="00535DAA">
              <w:rPr>
                <w:rStyle w:val="default"/>
                <w:rFonts w:cs="David" w:hint="cs"/>
                <w:sz w:val="20"/>
                <w:szCs w:val="20"/>
                <w:rtl/>
              </w:rPr>
              <w:t xml:space="preserve"> </w:t>
            </w:r>
            <w:r w:rsidRPr="00535DAA">
              <w:rPr>
                <w:rStyle w:val="default"/>
                <w:rFonts w:cs="David" w:hint="cs"/>
                <w:b/>
                <w:bCs/>
                <w:sz w:val="20"/>
                <w:szCs w:val="20"/>
                <w:rtl/>
              </w:rPr>
              <w:t>עד שנתיים</w:t>
            </w:r>
            <w:r w:rsidRPr="00535DAA">
              <w:rPr>
                <w:rStyle w:val="default"/>
                <w:rFonts w:cs="David" w:hint="cs"/>
                <w:sz w:val="20"/>
                <w:szCs w:val="20"/>
                <w:rtl/>
              </w:rPr>
              <w:t>;</w:t>
            </w:r>
          </w:p>
          <w:p w:rsidR="006E6BAC" w:rsidRPr="00535DAA" w:rsidRDefault="00780228" w:rsidP="00962E5D">
            <w:pPr>
              <w:pStyle w:val="P00"/>
              <w:tabs>
                <w:tab w:val="clear" w:pos="624"/>
                <w:tab w:val="left" w:pos="318"/>
              </w:tabs>
              <w:spacing w:before="72"/>
              <w:ind w:left="176"/>
              <w:rPr>
                <w:rFonts w:cs="David"/>
                <w:szCs w:val="20"/>
                <w:rtl/>
              </w:rPr>
            </w:pPr>
            <w:r w:rsidRPr="00535DAA">
              <w:rPr>
                <w:rStyle w:val="default"/>
                <w:rFonts w:cs="David" w:hint="cs"/>
                <w:sz w:val="20"/>
                <w:szCs w:val="20"/>
                <w:rtl/>
              </w:rPr>
              <w:t xml:space="preserve">(ד) בעבירה שדינה חמור ממאסר של עשר שנים </w:t>
            </w:r>
            <w:r w:rsidRPr="00535DAA">
              <w:rPr>
                <w:rStyle w:val="default"/>
                <w:rFonts w:cs="David" w:hint="cs"/>
                <w:b/>
                <w:bCs/>
                <w:sz w:val="20"/>
                <w:szCs w:val="20"/>
                <w:rtl/>
              </w:rPr>
              <w:t>לא יוגבל משך החקירה</w:t>
            </w:r>
          </w:p>
        </w:tc>
        <w:tc>
          <w:tcPr>
            <w:tcW w:w="3298" w:type="dxa"/>
          </w:tcPr>
          <w:p w:rsidR="006E6BAC" w:rsidRPr="00535DAA" w:rsidRDefault="00780228" w:rsidP="00F44281">
            <w:pPr>
              <w:spacing w:line="276" w:lineRule="auto"/>
              <w:ind w:firstLine="0"/>
              <w:rPr>
                <w:rFonts w:cs="David"/>
                <w:sz w:val="20"/>
                <w:szCs w:val="20"/>
                <w:rtl/>
              </w:rPr>
            </w:pPr>
            <w:r w:rsidRPr="00535DAA">
              <w:rPr>
                <w:rFonts w:cs="David" w:hint="cs"/>
                <w:sz w:val="20"/>
                <w:szCs w:val="20"/>
                <w:rtl/>
              </w:rPr>
              <w:t>2.ב.הגבלת משך החקירה</w:t>
            </w:r>
          </w:p>
          <w:p w:rsidR="00780228" w:rsidRPr="00535DAA" w:rsidRDefault="00780228" w:rsidP="00780228">
            <w:pPr>
              <w:spacing w:line="276" w:lineRule="auto"/>
              <w:ind w:firstLine="0"/>
              <w:rPr>
                <w:rFonts w:cs="David"/>
                <w:sz w:val="20"/>
                <w:szCs w:val="20"/>
                <w:rtl/>
              </w:rPr>
            </w:pPr>
            <w:r w:rsidRPr="00535DAA">
              <w:rPr>
                <w:rFonts w:cs="David" w:hint="cs"/>
                <w:sz w:val="20"/>
                <w:szCs w:val="20"/>
                <w:rtl/>
              </w:rPr>
              <w:t xml:space="preserve">1) בעבירות מסוג חטא </w:t>
            </w:r>
            <w:r w:rsidRPr="00535DAA">
              <w:rPr>
                <w:rFonts w:cs="David"/>
                <w:sz w:val="20"/>
                <w:szCs w:val="20"/>
                <w:rtl/>
              </w:rPr>
              <w:t>–</w:t>
            </w:r>
            <w:r w:rsidRPr="00535DAA">
              <w:rPr>
                <w:rFonts w:cs="David" w:hint="cs"/>
                <w:sz w:val="20"/>
                <w:szCs w:val="20"/>
                <w:rtl/>
              </w:rPr>
              <w:t xml:space="preserve"> לא יאוחר מתום 6 חודשים </w:t>
            </w:r>
            <w:r w:rsidR="00962E5D" w:rsidRPr="00535DAA">
              <w:rPr>
                <w:rFonts w:cs="David" w:hint="cs"/>
                <w:sz w:val="20"/>
                <w:szCs w:val="20"/>
                <w:u w:val="single"/>
                <w:rtl/>
              </w:rPr>
              <w:t xml:space="preserve">מיום החשדתו במשטרה </w:t>
            </w:r>
          </w:p>
          <w:p w:rsidR="00780228" w:rsidRPr="00535DAA" w:rsidRDefault="00780228" w:rsidP="00780228">
            <w:pPr>
              <w:spacing w:line="276" w:lineRule="auto"/>
              <w:ind w:firstLine="0"/>
              <w:rPr>
                <w:rFonts w:cs="David"/>
                <w:sz w:val="20"/>
                <w:szCs w:val="20"/>
                <w:rtl/>
              </w:rPr>
            </w:pPr>
            <w:r w:rsidRPr="00535DAA">
              <w:rPr>
                <w:rFonts w:cs="David" w:hint="cs"/>
                <w:sz w:val="20"/>
                <w:szCs w:val="20"/>
                <w:rtl/>
              </w:rPr>
              <w:t xml:space="preserve">2) בעבירות מסוג עוון </w:t>
            </w:r>
            <w:r w:rsidRPr="00535DAA">
              <w:rPr>
                <w:rFonts w:cs="David"/>
                <w:sz w:val="20"/>
                <w:szCs w:val="20"/>
                <w:rtl/>
              </w:rPr>
              <w:t>–</w:t>
            </w:r>
            <w:r w:rsidRPr="00535DAA">
              <w:rPr>
                <w:rFonts w:cs="David" w:hint="cs"/>
                <w:sz w:val="20"/>
                <w:szCs w:val="20"/>
                <w:rtl/>
              </w:rPr>
              <w:t xml:space="preserve"> לא יאוחר מתום שנה</w:t>
            </w:r>
            <w:r w:rsidR="00962E5D" w:rsidRPr="00535DAA">
              <w:rPr>
                <w:rFonts w:cs="David" w:hint="cs"/>
                <w:sz w:val="20"/>
                <w:szCs w:val="20"/>
                <w:rtl/>
              </w:rPr>
              <w:t xml:space="preserve"> מיום החשדתו במשטרה</w:t>
            </w:r>
            <w:r w:rsidRPr="00535DAA">
              <w:rPr>
                <w:rFonts w:cs="David" w:hint="cs"/>
                <w:sz w:val="20"/>
                <w:szCs w:val="20"/>
                <w:rtl/>
              </w:rPr>
              <w:t xml:space="preserve"> </w:t>
            </w:r>
          </w:p>
          <w:p w:rsidR="00780228" w:rsidRPr="00535DAA" w:rsidRDefault="00780228" w:rsidP="00780228">
            <w:pPr>
              <w:spacing w:line="276" w:lineRule="auto"/>
              <w:ind w:firstLine="0"/>
              <w:rPr>
                <w:rFonts w:cs="David"/>
                <w:sz w:val="20"/>
                <w:szCs w:val="20"/>
                <w:rtl/>
              </w:rPr>
            </w:pPr>
            <w:r w:rsidRPr="00535DAA">
              <w:rPr>
                <w:rFonts w:cs="David" w:hint="cs"/>
                <w:sz w:val="20"/>
                <w:szCs w:val="20"/>
                <w:rtl/>
              </w:rPr>
              <w:t xml:space="preserve">3) בעבירות מסוג פשע </w:t>
            </w:r>
            <w:r w:rsidRPr="00535DAA">
              <w:rPr>
                <w:rFonts w:cs="David"/>
                <w:sz w:val="20"/>
                <w:szCs w:val="20"/>
                <w:rtl/>
              </w:rPr>
              <w:t>–</w:t>
            </w:r>
            <w:r w:rsidRPr="00535DAA">
              <w:rPr>
                <w:rFonts w:cs="David" w:hint="cs"/>
                <w:sz w:val="20"/>
                <w:szCs w:val="20"/>
                <w:rtl/>
              </w:rPr>
              <w:t xml:space="preserve"> לא יאוחר מתום 18 חודשים</w:t>
            </w:r>
            <w:r w:rsidR="00962E5D" w:rsidRPr="00535DAA">
              <w:rPr>
                <w:rFonts w:cs="David" w:hint="cs"/>
                <w:sz w:val="20"/>
                <w:szCs w:val="20"/>
                <w:rtl/>
              </w:rPr>
              <w:t xml:space="preserve"> מיום החשדתו במשטרה</w:t>
            </w:r>
          </w:p>
        </w:tc>
        <w:tc>
          <w:tcPr>
            <w:tcW w:w="2268" w:type="dxa"/>
          </w:tcPr>
          <w:p w:rsidR="006E6BAC" w:rsidRPr="00535DAA" w:rsidRDefault="00F50BCD" w:rsidP="00F50BCD">
            <w:pPr>
              <w:spacing w:line="276" w:lineRule="auto"/>
              <w:ind w:firstLine="0"/>
              <w:rPr>
                <w:rFonts w:cs="David"/>
                <w:sz w:val="20"/>
                <w:szCs w:val="20"/>
                <w:rtl/>
              </w:rPr>
            </w:pPr>
            <w:r w:rsidRPr="00535DAA">
              <w:rPr>
                <w:rFonts w:cs="David" w:hint="cs"/>
                <w:sz w:val="20"/>
                <w:szCs w:val="20"/>
                <w:rtl/>
              </w:rPr>
              <w:t xml:space="preserve">בחטא ובעוון התקופה זהה אך לא נמדדת מאותו מועד. </w:t>
            </w:r>
            <w:r w:rsidR="00962E5D" w:rsidRPr="00535DAA">
              <w:rPr>
                <w:rFonts w:cs="David" w:hint="cs"/>
                <w:sz w:val="20"/>
                <w:szCs w:val="20"/>
                <w:rtl/>
              </w:rPr>
              <w:t xml:space="preserve">הבדלים בעבירות פשע; </w:t>
            </w:r>
            <w:r w:rsidRPr="00535DAA">
              <w:rPr>
                <w:rFonts w:cs="David" w:hint="cs"/>
                <w:sz w:val="20"/>
                <w:szCs w:val="20"/>
                <w:rtl/>
              </w:rPr>
              <w:t xml:space="preserve"> </w:t>
            </w:r>
            <w:r w:rsidR="00962E5D" w:rsidRPr="00535DAA">
              <w:rPr>
                <w:rFonts w:cs="David" w:hint="cs"/>
                <w:sz w:val="20"/>
                <w:szCs w:val="20"/>
                <w:rtl/>
              </w:rPr>
              <w:t xml:space="preserve">  </w:t>
            </w:r>
          </w:p>
        </w:tc>
      </w:tr>
      <w:tr w:rsidR="0015139B" w:rsidRPr="00535DAA" w:rsidTr="00962A0A">
        <w:tc>
          <w:tcPr>
            <w:tcW w:w="991" w:type="dxa"/>
            <w:shd w:val="clear" w:color="auto" w:fill="BFBFBF" w:themeFill="background1" w:themeFillShade="BF"/>
          </w:tcPr>
          <w:p w:rsidR="0015139B" w:rsidRPr="00535DAA" w:rsidRDefault="0015139B" w:rsidP="0015139B">
            <w:pPr>
              <w:spacing w:line="276" w:lineRule="auto"/>
              <w:ind w:firstLine="0"/>
              <w:rPr>
                <w:rFonts w:cs="David"/>
                <w:sz w:val="20"/>
                <w:szCs w:val="20"/>
                <w:rtl/>
              </w:rPr>
            </w:pPr>
            <w:r w:rsidRPr="00535DAA">
              <w:rPr>
                <w:rFonts w:cs="David" w:hint="cs"/>
                <w:sz w:val="20"/>
                <w:szCs w:val="20"/>
                <w:rtl/>
              </w:rPr>
              <w:t xml:space="preserve">חקירה נגד חשוד קטין </w:t>
            </w:r>
          </w:p>
        </w:tc>
        <w:tc>
          <w:tcPr>
            <w:tcW w:w="3224" w:type="dxa"/>
          </w:tcPr>
          <w:p w:rsidR="0015139B" w:rsidRPr="00535DAA" w:rsidRDefault="0015139B" w:rsidP="0015139B">
            <w:pPr>
              <w:spacing w:line="276" w:lineRule="auto"/>
              <w:ind w:firstLine="0"/>
              <w:rPr>
                <w:rFonts w:cs="David"/>
                <w:sz w:val="20"/>
                <w:szCs w:val="20"/>
                <w:rtl/>
              </w:rPr>
            </w:pPr>
            <w:r w:rsidRPr="00535DAA">
              <w:rPr>
                <w:rFonts w:cs="David" w:hint="cs"/>
                <w:sz w:val="20"/>
                <w:szCs w:val="20"/>
                <w:rtl/>
              </w:rPr>
              <w:t>אין התיחסות מיוחדת</w:t>
            </w:r>
          </w:p>
        </w:tc>
        <w:tc>
          <w:tcPr>
            <w:tcW w:w="3298" w:type="dxa"/>
          </w:tcPr>
          <w:p w:rsidR="0015139B" w:rsidRPr="00535DAA" w:rsidRDefault="0015139B" w:rsidP="0015139B">
            <w:pPr>
              <w:spacing w:line="276" w:lineRule="auto"/>
              <w:ind w:firstLine="0"/>
              <w:rPr>
                <w:rFonts w:cs="David"/>
                <w:sz w:val="20"/>
                <w:szCs w:val="20"/>
                <w:rtl/>
              </w:rPr>
            </w:pPr>
            <w:r w:rsidRPr="00535DAA">
              <w:rPr>
                <w:rFonts w:cs="David" w:hint="cs"/>
                <w:sz w:val="20"/>
                <w:szCs w:val="20"/>
                <w:rtl/>
              </w:rPr>
              <w:t xml:space="preserve">2.ב.4) בתיקי חקירה נגד חשוד קטין </w:t>
            </w:r>
            <w:r w:rsidRPr="00535DAA">
              <w:rPr>
                <w:rFonts w:cs="David"/>
                <w:sz w:val="20"/>
                <w:szCs w:val="20"/>
                <w:rtl/>
              </w:rPr>
              <w:t>–</w:t>
            </w:r>
            <w:r w:rsidRPr="00535DAA">
              <w:rPr>
                <w:rFonts w:cs="David" w:hint="cs"/>
                <w:sz w:val="20"/>
                <w:szCs w:val="20"/>
                <w:rtl/>
              </w:rPr>
              <w:t xml:space="preserve"> לא יאוחר מתום שמונה חודשים </w:t>
            </w:r>
            <w:r w:rsidRPr="00535DAA">
              <w:rPr>
                <w:rFonts w:cs="David" w:hint="cs"/>
                <w:sz w:val="20"/>
                <w:szCs w:val="20"/>
                <w:u w:val="single"/>
                <w:rtl/>
              </w:rPr>
              <w:t>מיום ביצוע העבירה</w:t>
            </w:r>
            <w:r w:rsidRPr="00535DAA">
              <w:rPr>
                <w:rFonts w:cs="David" w:hint="cs"/>
                <w:sz w:val="20"/>
                <w:szCs w:val="20"/>
                <w:rtl/>
              </w:rPr>
              <w:t xml:space="preserve"> </w:t>
            </w:r>
          </w:p>
        </w:tc>
        <w:tc>
          <w:tcPr>
            <w:tcW w:w="2268" w:type="dxa"/>
          </w:tcPr>
          <w:p w:rsidR="0015139B" w:rsidRPr="00535DAA" w:rsidRDefault="004D1B77" w:rsidP="0015139B">
            <w:pPr>
              <w:spacing w:line="276" w:lineRule="auto"/>
              <w:ind w:firstLine="0"/>
              <w:rPr>
                <w:rFonts w:cs="David"/>
                <w:sz w:val="20"/>
                <w:szCs w:val="20"/>
                <w:rtl/>
              </w:rPr>
            </w:pPr>
            <w:r w:rsidRPr="00535DAA">
              <w:rPr>
                <w:rFonts w:cs="David" w:hint="cs"/>
                <w:sz w:val="20"/>
                <w:szCs w:val="20"/>
                <w:rtl/>
              </w:rPr>
              <w:t xml:space="preserve">ס' 14 לחוק הנוער </w:t>
            </w:r>
            <w:r w:rsidRPr="00535DAA">
              <w:rPr>
                <w:rFonts w:cs="David"/>
                <w:sz w:val="20"/>
                <w:szCs w:val="20"/>
                <w:rtl/>
              </w:rPr>
              <w:t>–</w:t>
            </w:r>
            <w:r w:rsidRPr="00535DAA">
              <w:rPr>
                <w:rFonts w:cs="David" w:hint="cs"/>
                <w:sz w:val="20"/>
                <w:szCs w:val="20"/>
                <w:rtl/>
              </w:rPr>
              <w:t xml:space="preserve"> העמדה לדין של קטין בחלוף שנה מביצוע העבירה רק באישור יועמ"ש (הואצל לפרקליט המדינה וסגניו)</w:t>
            </w:r>
          </w:p>
        </w:tc>
      </w:tr>
      <w:tr w:rsidR="0015139B" w:rsidRPr="00535DAA" w:rsidTr="00962A0A">
        <w:tc>
          <w:tcPr>
            <w:tcW w:w="991" w:type="dxa"/>
            <w:shd w:val="clear" w:color="auto" w:fill="BFBFBF" w:themeFill="background1" w:themeFillShade="BF"/>
          </w:tcPr>
          <w:p w:rsidR="0015139B" w:rsidRPr="00535DAA" w:rsidRDefault="0015139B" w:rsidP="00F44281">
            <w:pPr>
              <w:spacing w:line="276" w:lineRule="auto"/>
              <w:ind w:firstLine="0"/>
              <w:rPr>
                <w:rFonts w:cs="David"/>
                <w:sz w:val="20"/>
                <w:szCs w:val="20"/>
                <w:rtl/>
              </w:rPr>
            </w:pPr>
            <w:r w:rsidRPr="00535DAA">
              <w:rPr>
                <w:rFonts w:cs="David" w:hint="cs"/>
                <w:sz w:val="20"/>
                <w:szCs w:val="20"/>
                <w:rtl/>
              </w:rPr>
              <w:t xml:space="preserve">המועד שממנו מונים את התקופות </w:t>
            </w:r>
          </w:p>
        </w:tc>
        <w:tc>
          <w:tcPr>
            <w:tcW w:w="3224" w:type="dxa"/>
          </w:tcPr>
          <w:p w:rsidR="0015139B" w:rsidRPr="00535DAA" w:rsidRDefault="0015139B" w:rsidP="0015139B">
            <w:pPr>
              <w:spacing w:line="276" w:lineRule="auto"/>
              <w:ind w:firstLine="0"/>
              <w:rPr>
                <w:rFonts w:cs="David"/>
                <w:sz w:val="20"/>
                <w:szCs w:val="20"/>
                <w:rtl/>
              </w:rPr>
            </w:pPr>
            <w:r w:rsidRPr="00535DAA">
              <w:rPr>
                <w:rStyle w:val="default"/>
                <w:rFonts w:cs="David" w:hint="cs"/>
                <w:sz w:val="20"/>
                <w:szCs w:val="20"/>
                <w:rtl/>
              </w:rPr>
              <w:t xml:space="preserve">מיום פתיחת החקירה </w:t>
            </w:r>
            <w:r w:rsidRPr="00535DAA">
              <w:rPr>
                <w:rStyle w:val="default"/>
                <w:rFonts w:cs="David"/>
                <w:sz w:val="20"/>
                <w:szCs w:val="20"/>
                <w:rtl/>
              </w:rPr>
              <w:t>–</w:t>
            </w:r>
            <w:r w:rsidRPr="00535DAA">
              <w:rPr>
                <w:rStyle w:val="default"/>
                <w:rFonts w:cs="David" w:hint="cs"/>
                <w:sz w:val="20"/>
                <w:szCs w:val="20"/>
                <w:rtl/>
              </w:rPr>
              <w:t xml:space="preserve"> אם נפתחה בעקבות תלונה, המועד שבו הוגשה התלונה; אם נפתחה בעקבות מידע שהגיע למשטרה בדרך אחרת, המועד שבו החליט הגורם המוסמך על פתיחתה של חקירה או של בדיקה; החלטה על איסוף סמוי של מודיעין לא תיחשב כפתיחה של חקירה או בדיקה</w:t>
            </w:r>
          </w:p>
        </w:tc>
        <w:tc>
          <w:tcPr>
            <w:tcW w:w="3298" w:type="dxa"/>
          </w:tcPr>
          <w:p w:rsidR="0015139B" w:rsidRPr="00535DAA" w:rsidRDefault="0015139B" w:rsidP="0015139B">
            <w:pPr>
              <w:spacing w:line="276" w:lineRule="auto"/>
              <w:ind w:firstLine="0"/>
              <w:rPr>
                <w:rFonts w:cs="David"/>
                <w:sz w:val="20"/>
                <w:szCs w:val="20"/>
                <w:rtl/>
              </w:rPr>
            </w:pPr>
            <w:r w:rsidRPr="00535DAA">
              <w:rPr>
                <w:rFonts w:cs="David" w:hint="cs"/>
                <w:sz w:val="20"/>
                <w:szCs w:val="20"/>
                <w:rtl/>
              </w:rPr>
              <w:t xml:space="preserve">לגבי בגיר - </w:t>
            </w:r>
            <w:r w:rsidRPr="00535DAA">
              <w:rPr>
                <w:rFonts w:cs="David" w:hint="cs"/>
                <w:sz w:val="20"/>
                <w:szCs w:val="20"/>
                <w:highlight w:val="yellow"/>
                <w:rtl/>
              </w:rPr>
              <w:t>מיום החשדתו במשטרה</w:t>
            </w:r>
            <w:r w:rsidRPr="00535DAA">
              <w:rPr>
                <w:rFonts w:cs="David" w:hint="cs"/>
                <w:sz w:val="20"/>
                <w:szCs w:val="20"/>
                <w:rtl/>
              </w:rPr>
              <w:t xml:space="preserve"> </w:t>
            </w:r>
          </w:p>
          <w:p w:rsidR="0015139B" w:rsidRPr="00535DAA" w:rsidRDefault="0015139B" w:rsidP="00F44281">
            <w:pPr>
              <w:spacing w:line="276" w:lineRule="auto"/>
              <w:ind w:firstLine="0"/>
              <w:rPr>
                <w:rFonts w:cs="David"/>
                <w:sz w:val="20"/>
                <w:szCs w:val="20"/>
                <w:rtl/>
              </w:rPr>
            </w:pPr>
            <w:r w:rsidRPr="00535DAA">
              <w:rPr>
                <w:rFonts w:cs="David" w:hint="cs"/>
                <w:sz w:val="20"/>
                <w:szCs w:val="20"/>
                <w:rtl/>
              </w:rPr>
              <w:t xml:space="preserve">לגבי קטין </w:t>
            </w:r>
            <w:r w:rsidRPr="00535DAA">
              <w:rPr>
                <w:rFonts w:cs="David"/>
                <w:sz w:val="20"/>
                <w:szCs w:val="20"/>
                <w:rtl/>
              </w:rPr>
              <w:t>–</w:t>
            </w:r>
            <w:r w:rsidRPr="00535DAA">
              <w:rPr>
                <w:rFonts w:cs="David" w:hint="cs"/>
                <w:sz w:val="20"/>
                <w:szCs w:val="20"/>
                <w:rtl/>
              </w:rPr>
              <w:t xml:space="preserve"> מיום ביצוע העבירה </w:t>
            </w:r>
          </w:p>
        </w:tc>
        <w:tc>
          <w:tcPr>
            <w:tcW w:w="2268" w:type="dxa"/>
          </w:tcPr>
          <w:p w:rsidR="0015139B" w:rsidRPr="00535DAA" w:rsidRDefault="00F50BCD" w:rsidP="00F44281">
            <w:pPr>
              <w:spacing w:line="276" w:lineRule="auto"/>
              <w:ind w:firstLine="0"/>
              <w:rPr>
                <w:rFonts w:cs="David"/>
                <w:sz w:val="20"/>
                <w:szCs w:val="20"/>
                <w:rtl/>
              </w:rPr>
            </w:pPr>
            <w:r w:rsidRPr="00535DAA">
              <w:rPr>
                <w:rFonts w:cs="David" w:hint="cs"/>
                <w:sz w:val="20"/>
                <w:szCs w:val="20"/>
                <w:rtl/>
              </w:rPr>
              <w:t xml:space="preserve">שונה. </w:t>
            </w:r>
          </w:p>
        </w:tc>
      </w:tr>
      <w:tr w:rsidR="00AD4001" w:rsidRPr="00535DAA" w:rsidTr="00962A0A">
        <w:tc>
          <w:tcPr>
            <w:tcW w:w="991" w:type="dxa"/>
            <w:shd w:val="clear" w:color="auto" w:fill="BFBFBF" w:themeFill="background1" w:themeFillShade="BF"/>
          </w:tcPr>
          <w:p w:rsidR="006E6BAC" w:rsidRPr="00535DAA" w:rsidRDefault="006E6BAC" w:rsidP="00F44281">
            <w:pPr>
              <w:spacing w:line="276" w:lineRule="auto"/>
              <w:ind w:firstLine="0"/>
              <w:rPr>
                <w:rFonts w:cs="David"/>
                <w:sz w:val="20"/>
                <w:szCs w:val="20"/>
                <w:rtl/>
              </w:rPr>
            </w:pPr>
          </w:p>
        </w:tc>
        <w:tc>
          <w:tcPr>
            <w:tcW w:w="3224" w:type="dxa"/>
          </w:tcPr>
          <w:p w:rsidR="006E6BAC" w:rsidRPr="00535DAA" w:rsidRDefault="006E6BAC" w:rsidP="00F44281">
            <w:pPr>
              <w:spacing w:line="276" w:lineRule="auto"/>
              <w:ind w:firstLine="0"/>
              <w:rPr>
                <w:rFonts w:cs="David"/>
                <w:sz w:val="20"/>
                <w:szCs w:val="20"/>
                <w:rtl/>
              </w:rPr>
            </w:pPr>
          </w:p>
        </w:tc>
        <w:tc>
          <w:tcPr>
            <w:tcW w:w="3298" w:type="dxa"/>
          </w:tcPr>
          <w:p w:rsidR="006E6BAC" w:rsidRPr="00535DAA" w:rsidRDefault="006E6BAC" w:rsidP="00F44281">
            <w:pPr>
              <w:spacing w:line="276" w:lineRule="auto"/>
              <w:ind w:firstLine="0"/>
              <w:rPr>
                <w:rFonts w:cs="David"/>
                <w:sz w:val="20"/>
                <w:szCs w:val="20"/>
                <w:rtl/>
              </w:rPr>
            </w:pPr>
          </w:p>
        </w:tc>
        <w:tc>
          <w:tcPr>
            <w:tcW w:w="2268" w:type="dxa"/>
          </w:tcPr>
          <w:p w:rsidR="006E6BAC" w:rsidRPr="00535DAA" w:rsidRDefault="006E6BAC" w:rsidP="00F44281">
            <w:pPr>
              <w:spacing w:line="276" w:lineRule="auto"/>
              <w:ind w:firstLine="0"/>
              <w:rPr>
                <w:rFonts w:cs="David"/>
                <w:sz w:val="20"/>
                <w:szCs w:val="20"/>
                <w:rtl/>
              </w:rPr>
            </w:pPr>
          </w:p>
        </w:tc>
      </w:tr>
      <w:tr w:rsidR="00962E5D" w:rsidRPr="00535DAA" w:rsidTr="00962A0A">
        <w:tc>
          <w:tcPr>
            <w:tcW w:w="991" w:type="dxa"/>
            <w:shd w:val="clear" w:color="auto" w:fill="BFBFBF" w:themeFill="background1" w:themeFillShade="BF"/>
          </w:tcPr>
          <w:p w:rsidR="00962E5D" w:rsidRPr="00535DAA" w:rsidRDefault="00962E5D" w:rsidP="00962E5D">
            <w:pPr>
              <w:spacing w:line="276" w:lineRule="auto"/>
              <w:ind w:firstLine="0"/>
              <w:rPr>
                <w:rFonts w:cs="David"/>
                <w:sz w:val="20"/>
                <w:szCs w:val="20"/>
                <w:rtl/>
              </w:rPr>
            </w:pPr>
            <w:r w:rsidRPr="00535DAA">
              <w:rPr>
                <w:rFonts w:cs="David" w:hint="cs"/>
                <w:sz w:val="20"/>
                <w:szCs w:val="20"/>
                <w:rtl/>
              </w:rPr>
              <w:t xml:space="preserve">הארכת משך החקירה   </w:t>
            </w:r>
          </w:p>
        </w:tc>
        <w:tc>
          <w:tcPr>
            <w:tcW w:w="3224" w:type="dxa"/>
          </w:tcPr>
          <w:p w:rsidR="00962E5D" w:rsidRPr="00535DAA" w:rsidRDefault="00C65549" w:rsidP="00962E5D">
            <w:pPr>
              <w:pStyle w:val="P00"/>
              <w:tabs>
                <w:tab w:val="clear" w:pos="1928"/>
                <w:tab w:val="left" w:pos="2019"/>
              </w:tabs>
              <w:spacing w:before="72"/>
              <w:ind w:left="0"/>
              <w:rPr>
                <w:rStyle w:val="default"/>
                <w:rFonts w:cs="David"/>
                <w:sz w:val="20"/>
                <w:szCs w:val="20"/>
                <w:rtl/>
              </w:rPr>
            </w:pPr>
            <w:r w:rsidRPr="00535DAA">
              <w:rPr>
                <w:rStyle w:val="default"/>
                <w:rFonts w:cs="David" w:hint="cs"/>
                <w:b/>
                <w:bCs/>
                <w:sz w:val="20"/>
                <w:szCs w:val="20"/>
                <w:rtl/>
              </w:rPr>
              <w:t xml:space="preserve">59(ב)(3) - </w:t>
            </w:r>
            <w:r w:rsidR="00962E5D" w:rsidRPr="00535DAA">
              <w:rPr>
                <w:rStyle w:val="default"/>
                <w:rFonts w:cs="David" w:hint="cs"/>
                <w:b/>
                <w:bCs/>
                <w:sz w:val="20"/>
                <w:szCs w:val="20"/>
                <w:rtl/>
              </w:rPr>
              <w:t>היועץ המשפטי לממשלה או מי שהוא הסמיך לכך</w:t>
            </w:r>
            <w:r w:rsidR="00962E5D" w:rsidRPr="00535DAA">
              <w:rPr>
                <w:rStyle w:val="default"/>
                <w:rFonts w:cs="David" w:hint="cs"/>
                <w:sz w:val="20"/>
                <w:szCs w:val="20"/>
                <w:rtl/>
              </w:rPr>
              <w:t xml:space="preserve"> רשאי, מטעמים מיוחדים שיירשמו, להאריך את משך הזמן לתקופה שלא תעלה על שישה חודשים ולחזור ולהאריך את משך הזמן כאמור מעת לעת </w:t>
            </w:r>
          </w:p>
          <w:p w:rsidR="00962E5D" w:rsidRPr="00535DAA" w:rsidRDefault="00962E5D" w:rsidP="00962E5D">
            <w:pPr>
              <w:pStyle w:val="P00"/>
              <w:tabs>
                <w:tab w:val="clear" w:pos="1928"/>
                <w:tab w:val="left" w:pos="2019"/>
              </w:tabs>
              <w:spacing w:before="72"/>
              <w:ind w:left="0"/>
              <w:rPr>
                <w:rFonts w:cs="David"/>
                <w:szCs w:val="20"/>
                <w:rtl/>
              </w:rPr>
            </w:pPr>
            <w:r w:rsidRPr="00535DAA">
              <w:rPr>
                <w:rStyle w:val="default"/>
                <w:rFonts w:cs="David" w:hint="cs"/>
                <w:sz w:val="20"/>
                <w:szCs w:val="20"/>
                <w:rtl/>
              </w:rPr>
              <w:t xml:space="preserve">"טעמים מיוחדים" </w:t>
            </w:r>
            <w:r w:rsidRPr="00535DAA">
              <w:rPr>
                <w:rStyle w:val="default"/>
                <w:rFonts w:cs="David"/>
                <w:sz w:val="20"/>
                <w:szCs w:val="20"/>
                <w:rtl/>
              </w:rPr>
              <w:t>–</w:t>
            </w:r>
            <w:r w:rsidRPr="00535DAA">
              <w:rPr>
                <w:rStyle w:val="default"/>
                <w:rFonts w:cs="David" w:hint="cs"/>
                <w:sz w:val="20"/>
                <w:szCs w:val="20"/>
                <w:rtl/>
              </w:rPr>
              <w:t xml:space="preserve"> לרבות פעולות חקירה מחוץ לשטח ישראל וחקירות שבהן עניין מיוחד לציבור. </w:t>
            </w:r>
          </w:p>
        </w:tc>
        <w:tc>
          <w:tcPr>
            <w:tcW w:w="3298" w:type="dxa"/>
          </w:tcPr>
          <w:p w:rsidR="00962E5D" w:rsidRPr="00535DAA" w:rsidRDefault="00962E5D" w:rsidP="00F44281">
            <w:pPr>
              <w:spacing w:line="276" w:lineRule="auto"/>
              <w:ind w:firstLine="0"/>
              <w:rPr>
                <w:rFonts w:cs="David"/>
                <w:sz w:val="20"/>
                <w:szCs w:val="20"/>
                <w:rtl/>
              </w:rPr>
            </w:pPr>
            <w:r w:rsidRPr="00535DAA">
              <w:rPr>
                <w:rFonts w:cs="David" w:hint="cs"/>
                <w:b/>
                <w:bCs/>
                <w:sz w:val="20"/>
                <w:szCs w:val="20"/>
                <w:rtl/>
              </w:rPr>
              <w:t>ק' אח"מ מרכזי/רענ"ח/ר מפלג ביחידה מחוזית או ארצית, או מי מטעמו</w:t>
            </w:r>
            <w:r w:rsidRPr="00535DAA">
              <w:rPr>
                <w:rFonts w:cs="David" w:hint="cs"/>
                <w:sz w:val="20"/>
                <w:szCs w:val="20"/>
                <w:rtl/>
              </w:rPr>
              <w:t xml:space="preserve">, בדרגת סגן ניצב לפחות, רשאי להאריך את משך החקירה אם מצא שיש לכך הצדקה לתקופה נוספת שלא תעלה על: </w:t>
            </w:r>
          </w:p>
          <w:p w:rsidR="00962E5D" w:rsidRPr="00535DAA" w:rsidRDefault="00962E5D" w:rsidP="00962E5D">
            <w:pPr>
              <w:spacing w:line="276" w:lineRule="auto"/>
              <w:ind w:firstLine="0"/>
              <w:rPr>
                <w:rFonts w:cs="David"/>
                <w:sz w:val="20"/>
                <w:szCs w:val="20"/>
                <w:u w:val="single"/>
                <w:rtl/>
              </w:rPr>
            </w:pPr>
            <w:r w:rsidRPr="00535DAA">
              <w:rPr>
                <w:rFonts w:cs="David" w:hint="cs"/>
                <w:sz w:val="20"/>
                <w:szCs w:val="20"/>
                <w:rtl/>
              </w:rPr>
              <w:t xml:space="preserve">1) בחטא </w:t>
            </w:r>
            <w:r w:rsidRPr="00535DAA">
              <w:rPr>
                <w:rFonts w:cs="David"/>
                <w:sz w:val="20"/>
                <w:szCs w:val="20"/>
                <w:rtl/>
              </w:rPr>
              <w:t>–</w:t>
            </w:r>
            <w:r w:rsidRPr="00535DAA">
              <w:rPr>
                <w:rFonts w:cs="David" w:hint="cs"/>
                <w:sz w:val="20"/>
                <w:szCs w:val="20"/>
                <w:rtl/>
              </w:rPr>
              <w:t xml:space="preserve">6 חודשים </w:t>
            </w:r>
          </w:p>
          <w:p w:rsidR="00962E5D" w:rsidRPr="00535DAA" w:rsidRDefault="00962E5D" w:rsidP="00962E5D">
            <w:pPr>
              <w:spacing w:line="276" w:lineRule="auto"/>
              <w:ind w:firstLine="0"/>
              <w:rPr>
                <w:rFonts w:cs="David"/>
                <w:sz w:val="20"/>
                <w:szCs w:val="20"/>
                <w:rtl/>
              </w:rPr>
            </w:pPr>
            <w:r w:rsidRPr="00535DAA">
              <w:rPr>
                <w:rFonts w:cs="David" w:hint="cs"/>
                <w:sz w:val="20"/>
                <w:szCs w:val="20"/>
                <w:rtl/>
              </w:rPr>
              <w:t xml:space="preserve">2) בעוון </w:t>
            </w:r>
            <w:r w:rsidRPr="00535DAA">
              <w:rPr>
                <w:rFonts w:cs="David"/>
                <w:sz w:val="20"/>
                <w:szCs w:val="20"/>
                <w:rtl/>
              </w:rPr>
              <w:t>–</w:t>
            </w:r>
            <w:r w:rsidRPr="00535DAA">
              <w:rPr>
                <w:rFonts w:cs="David" w:hint="cs"/>
                <w:sz w:val="20"/>
                <w:szCs w:val="20"/>
                <w:rtl/>
              </w:rPr>
              <w:t xml:space="preserve">שנה </w:t>
            </w:r>
          </w:p>
          <w:p w:rsidR="00962E5D" w:rsidRPr="00535DAA" w:rsidRDefault="00962E5D" w:rsidP="00962E5D">
            <w:pPr>
              <w:spacing w:line="276" w:lineRule="auto"/>
              <w:ind w:firstLine="0"/>
              <w:rPr>
                <w:rFonts w:cs="David"/>
                <w:sz w:val="20"/>
                <w:szCs w:val="20"/>
                <w:rtl/>
              </w:rPr>
            </w:pPr>
            <w:r w:rsidRPr="00535DAA">
              <w:rPr>
                <w:rFonts w:cs="David" w:hint="cs"/>
                <w:sz w:val="20"/>
                <w:szCs w:val="20"/>
                <w:rtl/>
              </w:rPr>
              <w:t xml:space="preserve">3) בפשע </w:t>
            </w:r>
            <w:r w:rsidRPr="00535DAA">
              <w:rPr>
                <w:rFonts w:cs="David"/>
                <w:sz w:val="20"/>
                <w:szCs w:val="20"/>
                <w:rtl/>
              </w:rPr>
              <w:t>–</w:t>
            </w:r>
            <w:r w:rsidRPr="00535DAA">
              <w:rPr>
                <w:rFonts w:cs="David" w:hint="cs"/>
                <w:sz w:val="20"/>
                <w:szCs w:val="20"/>
                <w:rtl/>
              </w:rPr>
              <w:t xml:space="preserve">18 חודשים </w:t>
            </w:r>
          </w:p>
          <w:p w:rsidR="00962E5D" w:rsidRPr="00535DAA" w:rsidRDefault="00962E5D" w:rsidP="00962E5D">
            <w:pPr>
              <w:spacing w:line="276" w:lineRule="auto"/>
              <w:ind w:firstLine="0"/>
              <w:rPr>
                <w:rFonts w:cs="David"/>
                <w:sz w:val="20"/>
                <w:szCs w:val="20"/>
                <w:rtl/>
              </w:rPr>
            </w:pPr>
            <w:r w:rsidRPr="00535DAA">
              <w:rPr>
                <w:rFonts w:cs="David" w:hint="cs"/>
                <w:sz w:val="20"/>
                <w:szCs w:val="20"/>
                <w:rtl/>
              </w:rPr>
              <w:t>ינמק בכתב את החלטתו ויציין את תקופת ההארכה והמועד החדש לסיומה</w:t>
            </w:r>
          </w:p>
        </w:tc>
        <w:tc>
          <w:tcPr>
            <w:tcW w:w="2268" w:type="dxa"/>
          </w:tcPr>
          <w:p w:rsidR="00F50BCD" w:rsidRPr="00535DAA" w:rsidRDefault="00F50BCD" w:rsidP="00F50BCD">
            <w:pPr>
              <w:spacing w:line="276" w:lineRule="auto"/>
              <w:ind w:firstLine="0"/>
              <w:rPr>
                <w:rFonts w:cs="David"/>
                <w:sz w:val="20"/>
                <w:szCs w:val="20"/>
                <w:rtl/>
              </w:rPr>
            </w:pPr>
            <w:r w:rsidRPr="00535DAA">
              <w:rPr>
                <w:rFonts w:cs="David" w:hint="cs"/>
                <w:sz w:val="20"/>
                <w:szCs w:val="20"/>
                <w:rtl/>
              </w:rPr>
              <w:t xml:space="preserve">המנגנון שונה; </w:t>
            </w:r>
          </w:p>
          <w:p w:rsidR="00962E5D" w:rsidRPr="00535DAA" w:rsidRDefault="00F50BCD" w:rsidP="00F50BCD">
            <w:pPr>
              <w:spacing w:line="276" w:lineRule="auto"/>
              <w:ind w:firstLine="0"/>
              <w:rPr>
                <w:rFonts w:cs="David"/>
                <w:sz w:val="20"/>
                <w:szCs w:val="20"/>
                <w:rtl/>
              </w:rPr>
            </w:pPr>
            <w:r w:rsidRPr="00535DAA">
              <w:rPr>
                <w:rFonts w:cs="David" w:hint="cs"/>
                <w:sz w:val="20"/>
                <w:szCs w:val="20"/>
                <w:rtl/>
              </w:rPr>
              <w:t xml:space="preserve">מבחינת התקופות </w:t>
            </w:r>
            <w:r w:rsidRPr="00535DAA">
              <w:rPr>
                <w:rFonts w:cs="David"/>
                <w:sz w:val="20"/>
                <w:szCs w:val="20"/>
                <w:rtl/>
              </w:rPr>
              <w:t>–</w:t>
            </w:r>
            <w:r w:rsidRPr="00535DAA">
              <w:rPr>
                <w:rFonts w:cs="David" w:hint="cs"/>
                <w:sz w:val="20"/>
                <w:szCs w:val="20"/>
                <w:rtl/>
              </w:rPr>
              <w:t xml:space="preserve"> בשני המנגנונים ניתן להאריך ללא מגבלה סופית. </w:t>
            </w:r>
          </w:p>
        </w:tc>
      </w:tr>
      <w:tr w:rsidR="00962E5D" w:rsidRPr="00535DAA" w:rsidTr="00962A0A">
        <w:tc>
          <w:tcPr>
            <w:tcW w:w="991" w:type="dxa"/>
            <w:shd w:val="clear" w:color="auto" w:fill="BFBFBF" w:themeFill="background1" w:themeFillShade="BF"/>
          </w:tcPr>
          <w:p w:rsidR="00962E5D" w:rsidRPr="00535DAA" w:rsidRDefault="0015139B" w:rsidP="00F44281">
            <w:pPr>
              <w:spacing w:line="276" w:lineRule="auto"/>
              <w:ind w:firstLine="0"/>
              <w:rPr>
                <w:rFonts w:cs="David"/>
                <w:sz w:val="20"/>
                <w:szCs w:val="20"/>
                <w:rtl/>
              </w:rPr>
            </w:pPr>
            <w:r w:rsidRPr="00535DAA">
              <w:rPr>
                <w:rFonts w:cs="David" w:hint="cs"/>
                <w:sz w:val="20"/>
                <w:szCs w:val="20"/>
                <w:rtl/>
              </w:rPr>
              <w:t xml:space="preserve">הארכה נוספת </w:t>
            </w:r>
          </w:p>
        </w:tc>
        <w:tc>
          <w:tcPr>
            <w:tcW w:w="3224" w:type="dxa"/>
          </w:tcPr>
          <w:p w:rsidR="00962E5D" w:rsidRPr="00535DAA" w:rsidRDefault="00F50BCD" w:rsidP="00F44281">
            <w:pPr>
              <w:spacing w:line="276" w:lineRule="auto"/>
              <w:ind w:firstLine="0"/>
              <w:rPr>
                <w:rFonts w:cs="David"/>
                <w:sz w:val="20"/>
                <w:szCs w:val="20"/>
                <w:rtl/>
              </w:rPr>
            </w:pPr>
            <w:r w:rsidRPr="00535DAA">
              <w:rPr>
                <w:rFonts w:cs="David" w:hint="cs"/>
                <w:sz w:val="20"/>
                <w:szCs w:val="20"/>
                <w:rtl/>
              </w:rPr>
              <w:t>ניתן ע"י היועמ"ש במנגנון הקודם.</w:t>
            </w:r>
            <w:r w:rsidR="0015139B" w:rsidRPr="00535DAA">
              <w:rPr>
                <w:rFonts w:cs="David" w:hint="cs"/>
                <w:sz w:val="20"/>
                <w:szCs w:val="20"/>
                <w:rtl/>
              </w:rPr>
              <w:t xml:space="preserve"> </w:t>
            </w:r>
          </w:p>
        </w:tc>
        <w:tc>
          <w:tcPr>
            <w:tcW w:w="3298" w:type="dxa"/>
          </w:tcPr>
          <w:p w:rsidR="00962E5D" w:rsidRPr="00535DAA" w:rsidRDefault="0015139B" w:rsidP="00F44281">
            <w:pPr>
              <w:spacing w:line="276" w:lineRule="auto"/>
              <w:ind w:firstLine="0"/>
              <w:rPr>
                <w:rFonts w:cs="David"/>
                <w:sz w:val="20"/>
                <w:szCs w:val="20"/>
                <w:rtl/>
              </w:rPr>
            </w:pPr>
            <w:r w:rsidRPr="00535DAA">
              <w:rPr>
                <w:rFonts w:cs="David" w:hint="cs"/>
                <w:sz w:val="20"/>
                <w:szCs w:val="20"/>
                <w:rtl/>
              </w:rPr>
              <w:t xml:space="preserve">ק' אח"מ מרחבי / רענ"ח סבר שלא ניתן לסיים החקירה עד תום התקופה </w:t>
            </w:r>
            <w:r w:rsidRPr="00535DAA">
              <w:rPr>
                <w:rFonts w:cs="David"/>
                <w:sz w:val="20"/>
                <w:szCs w:val="20"/>
                <w:rtl/>
              </w:rPr>
              <w:t>–</w:t>
            </w:r>
            <w:r w:rsidRPr="00535DAA">
              <w:rPr>
                <w:rFonts w:cs="David" w:hint="cs"/>
                <w:sz w:val="20"/>
                <w:szCs w:val="20"/>
                <w:rtl/>
              </w:rPr>
              <w:t xml:space="preserve"> יגיש לפני תום התקופה </w:t>
            </w:r>
            <w:r w:rsidRPr="00535DAA">
              <w:rPr>
                <w:rFonts w:cs="David"/>
                <w:sz w:val="20"/>
                <w:szCs w:val="20"/>
                <w:rtl/>
              </w:rPr>
              <w:t>–</w:t>
            </w:r>
            <w:r w:rsidRPr="00535DAA">
              <w:rPr>
                <w:rFonts w:cs="David" w:hint="cs"/>
                <w:sz w:val="20"/>
                <w:szCs w:val="20"/>
                <w:rtl/>
              </w:rPr>
              <w:t xml:space="preserve"> בקשה מנומקת לק' אח"מ מחוזי להארכה נוספת לפרק זמן קצוב שיציע. ההחלטה תנומק בכתב. </w:t>
            </w:r>
          </w:p>
        </w:tc>
        <w:tc>
          <w:tcPr>
            <w:tcW w:w="2268" w:type="dxa"/>
          </w:tcPr>
          <w:p w:rsidR="00962E5D" w:rsidRPr="00535DAA" w:rsidRDefault="00962E5D" w:rsidP="00F44281">
            <w:pPr>
              <w:spacing w:line="276" w:lineRule="auto"/>
              <w:ind w:firstLine="0"/>
              <w:rPr>
                <w:rFonts w:cs="David"/>
                <w:sz w:val="20"/>
                <w:szCs w:val="20"/>
                <w:rtl/>
              </w:rPr>
            </w:pPr>
          </w:p>
        </w:tc>
      </w:tr>
      <w:tr w:rsidR="00962E5D" w:rsidRPr="00535DAA" w:rsidTr="00962A0A">
        <w:tc>
          <w:tcPr>
            <w:tcW w:w="991" w:type="dxa"/>
            <w:shd w:val="clear" w:color="auto" w:fill="BFBFBF" w:themeFill="background1" w:themeFillShade="BF"/>
          </w:tcPr>
          <w:p w:rsidR="00962E5D" w:rsidRPr="00535DAA" w:rsidRDefault="0015139B" w:rsidP="00F44281">
            <w:pPr>
              <w:spacing w:line="276" w:lineRule="auto"/>
              <w:ind w:firstLine="0"/>
              <w:rPr>
                <w:rFonts w:cs="David"/>
                <w:sz w:val="20"/>
                <w:szCs w:val="20"/>
                <w:rtl/>
              </w:rPr>
            </w:pPr>
            <w:r w:rsidRPr="00535DAA">
              <w:rPr>
                <w:rFonts w:cs="David" w:hint="cs"/>
                <w:sz w:val="20"/>
                <w:szCs w:val="20"/>
                <w:rtl/>
              </w:rPr>
              <w:t xml:space="preserve">תקופה להשלמת חקירה </w:t>
            </w:r>
          </w:p>
        </w:tc>
        <w:tc>
          <w:tcPr>
            <w:tcW w:w="3224" w:type="dxa"/>
          </w:tcPr>
          <w:p w:rsidR="00F62189" w:rsidRPr="00535DAA" w:rsidRDefault="00F62189" w:rsidP="0015139B">
            <w:pPr>
              <w:pStyle w:val="P00"/>
              <w:tabs>
                <w:tab w:val="clear" w:pos="1928"/>
                <w:tab w:val="left" w:pos="2870"/>
              </w:tabs>
              <w:spacing w:before="72"/>
              <w:ind w:left="0"/>
              <w:rPr>
                <w:rStyle w:val="default"/>
                <w:rFonts w:cs="David"/>
                <w:sz w:val="20"/>
                <w:szCs w:val="20"/>
                <w:rtl/>
              </w:rPr>
            </w:pPr>
            <w:r w:rsidRPr="00535DAA">
              <w:rPr>
                <w:rStyle w:val="default"/>
                <w:rFonts w:cs="David" w:hint="cs"/>
                <w:sz w:val="20"/>
                <w:szCs w:val="20"/>
                <w:rtl/>
              </w:rPr>
              <w:t>61...</w:t>
            </w:r>
          </w:p>
          <w:p w:rsidR="0015139B" w:rsidRPr="00535DAA" w:rsidRDefault="0015139B" w:rsidP="0015139B">
            <w:pPr>
              <w:pStyle w:val="P00"/>
              <w:tabs>
                <w:tab w:val="clear" w:pos="1928"/>
                <w:tab w:val="left" w:pos="2870"/>
              </w:tabs>
              <w:spacing w:before="72"/>
              <w:ind w:left="0"/>
              <w:rPr>
                <w:rStyle w:val="default"/>
                <w:rFonts w:cs="David"/>
                <w:sz w:val="20"/>
                <w:szCs w:val="20"/>
                <w:rtl/>
              </w:rPr>
            </w:pPr>
            <w:r w:rsidRPr="00535DAA">
              <w:rPr>
                <w:rStyle w:val="default"/>
                <w:rFonts w:cs="David" w:hint="cs"/>
                <w:sz w:val="20"/>
                <w:szCs w:val="20"/>
                <w:rtl/>
              </w:rPr>
              <w:t xml:space="preserve">(ב) ביקש התובע לערוך השלמת חקירה, יתחום מראש את משך הזמן לכך בהתייעצות עם צוות החקירה - עד שלושה חודשים. </w:t>
            </w:r>
          </w:p>
          <w:p w:rsidR="00962E5D" w:rsidRPr="00535DAA" w:rsidRDefault="0015139B" w:rsidP="0015139B">
            <w:pPr>
              <w:pStyle w:val="P00"/>
              <w:tabs>
                <w:tab w:val="clear" w:pos="1928"/>
                <w:tab w:val="left" w:pos="2870"/>
              </w:tabs>
              <w:spacing w:before="72"/>
              <w:ind w:left="0"/>
              <w:rPr>
                <w:rFonts w:cs="David"/>
                <w:szCs w:val="20"/>
                <w:rtl/>
              </w:rPr>
            </w:pPr>
            <w:r w:rsidRPr="00535DAA">
              <w:rPr>
                <w:rStyle w:val="default"/>
                <w:rFonts w:cs="David" w:hint="cs"/>
                <w:sz w:val="20"/>
                <w:szCs w:val="20"/>
                <w:rtl/>
              </w:rPr>
              <w:t xml:space="preserve">(ג) פרקליט המחוז רשאי, מטעמים מיוחדים שיירשמו, להאריך את משך הזמן להשלמת החקירה לתקופה שלא תעלה על שישה חודשים ולחזור ולהאריך את משך הזמן כאמור מעת לעת. </w:t>
            </w:r>
          </w:p>
        </w:tc>
        <w:tc>
          <w:tcPr>
            <w:tcW w:w="3298" w:type="dxa"/>
          </w:tcPr>
          <w:p w:rsidR="00962E5D" w:rsidRPr="00535DAA" w:rsidRDefault="00F50BCD" w:rsidP="00F44281">
            <w:pPr>
              <w:spacing w:line="276" w:lineRule="auto"/>
              <w:ind w:firstLine="0"/>
              <w:rPr>
                <w:rFonts w:cs="David"/>
                <w:sz w:val="20"/>
                <w:szCs w:val="20"/>
                <w:rtl/>
              </w:rPr>
            </w:pPr>
            <w:r w:rsidRPr="00535DAA">
              <w:rPr>
                <w:rFonts w:cs="David" w:hint="cs"/>
                <w:sz w:val="20"/>
                <w:szCs w:val="20"/>
                <w:rtl/>
              </w:rPr>
              <w:t xml:space="preserve"> </w:t>
            </w:r>
          </w:p>
        </w:tc>
        <w:tc>
          <w:tcPr>
            <w:tcW w:w="2268" w:type="dxa"/>
          </w:tcPr>
          <w:p w:rsidR="00962E5D" w:rsidRPr="00535DAA" w:rsidRDefault="00962E5D" w:rsidP="00F44281">
            <w:pPr>
              <w:spacing w:line="276" w:lineRule="auto"/>
              <w:ind w:firstLine="0"/>
              <w:rPr>
                <w:rFonts w:cs="David"/>
                <w:sz w:val="20"/>
                <w:szCs w:val="20"/>
                <w:rtl/>
              </w:rPr>
            </w:pPr>
          </w:p>
        </w:tc>
      </w:tr>
      <w:tr w:rsidR="004D1B77" w:rsidRPr="00535DAA" w:rsidTr="00962A0A">
        <w:tc>
          <w:tcPr>
            <w:tcW w:w="991" w:type="dxa"/>
            <w:shd w:val="clear" w:color="auto" w:fill="BFBFBF" w:themeFill="background1" w:themeFillShade="BF"/>
          </w:tcPr>
          <w:p w:rsidR="00F62189" w:rsidRPr="00535DAA" w:rsidRDefault="00F62189" w:rsidP="00F970DF">
            <w:pPr>
              <w:spacing w:line="276" w:lineRule="auto"/>
              <w:ind w:firstLine="0"/>
              <w:rPr>
                <w:rFonts w:cs="David"/>
                <w:sz w:val="20"/>
                <w:szCs w:val="20"/>
                <w:rtl/>
              </w:rPr>
            </w:pPr>
            <w:r w:rsidRPr="00535DAA">
              <w:rPr>
                <w:rFonts w:cs="David" w:hint="cs"/>
                <w:sz w:val="20"/>
                <w:szCs w:val="20"/>
                <w:rtl/>
              </w:rPr>
              <w:t xml:space="preserve">סנקציה על חריגה מתקופת החקירה </w:t>
            </w:r>
          </w:p>
        </w:tc>
        <w:tc>
          <w:tcPr>
            <w:tcW w:w="3224" w:type="dxa"/>
          </w:tcPr>
          <w:p w:rsidR="00F62189" w:rsidRPr="00535DAA" w:rsidRDefault="00C65549" w:rsidP="00F970DF">
            <w:pPr>
              <w:pStyle w:val="P00"/>
              <w:tabs>
                <w:tab w:val="clear" w:pos="1928"/>
                <w:tab w:val="left" w:pos="2728"/>
              </w:tabs>
              <w:spacing w:before="72"/>
              <w:ind w:left="0"/>
              <w:rPr>
                <w:rFonts w:cs="David"/>
                <w:szCs w:val="20"/>
                <w:rtl/>
              </w:rPr>
            </w:pPr>
            <w:r w:rsidRPr="00535DAA">
              <w:rPr>
                <w:rStyle w:val="default"/>
                <w:rFonts w:cs="David" w:hint="cs"/>
                <w:sz w:val="20"/>
                <w:szCs w:val="20"/>
                <w:rtl/>
              </w:rPr>
              <w:t>59(ב)</w:t>
            </w:r>
            <w:r w:rsidR="00F62189" w:rsidRPr="00535DAA">
              <w:rPr>
                <w:rStyle w:val="default"/>
                <w:rFonts w:cs="David" w:hint="cs"/>
                <w:sz w:val="20"/>
                <w:szCs w:val="20"/>
                <w:rtl/>
              </w:rPr>
              <w:t xml:space="preserve">(5) לא יקבל בית המשפט ראיות שהושגו בחקירה שנערכה בניגוד להוראות סעיף זה או בניגוד להוראות סעיף 61, אלא מטעמים מיוחדים שיירשמו. </w:t>
            </w:r>
          </w:p>
        </w:tc>
        <w:tc>
          <w:tcPr>
            <w:tcW w:w="3298" w:type="dxa"/>
          </w:tcPr>
          <w:p w:rsidR="00F62189" w:rsidRPr="00535DAA" w:rsidRDefault="00F62189" w:rsidP="00F970DF">
            <w:pPr>
              <w:spacing w:line="276" w:lineRule="auto"/>
              <w:ind w:firstLine="0"/>
              <w:rPr>
                <w:rFonts w:cs="David"/>
                <w:sz w:val="20"/>
                <w:szCs w:val="20"/>
                <w:rtl/>
              </w:rPr>
            </w:pPr>
          </w:p>
        </w:tc>
        <w:tc>
          <w:tcPr>
            <w:tcW w:w="2268" w:type="dxa"/>
          </w:tcPr>
          <w:p w:rsidR="00F62189" w:rsidRPr="00535DAA" w:rsidRDefault="00F62189" w:rsidP="00F970DF">
            <w:pPr>
              <w:spacing w:line="276" w:lineRule="auto"/>
              <w:ind w:firstLine="0"/>
              <w:rPr>
                <w:rFonts w:cs="David"/>
                <w:sz w:val="20"/>
                <w:szCs w:val="20"/>
                <w:rtl/>
              </w:rPr>
            </w:pPr>
          </w:p>
        </w:tc>
      </w:tr>
      <w:tr w:rsidR="00F62189" w:rsidRPr="00535DAA" w:rsidTr="00962A0A">
        <w:tc>
          <w:tcPr>
            <w:tcW w:w="991" w:type="dxa"/>
            <w:shd w:val="clear" w:color="auto" w:fill="BFBFBF" w:themeFill="background1" w:themeFillShade="BF"/>
          </w:tcPr>
          <w:p w:rsidR="00F62189" w:rsidRPr="00535DAA" w:rsidRDefault="00AD4001" w:rsidP="00F44281">
            <w:pPr>
              <w:spacing w:line="276" w:lineRule="auto"/>
              <w:ind w:firstLine="0"/>
              <w:rPr>
                <w:rFonts w:cs="David"/>
                <w:sz w:val="20"/>
                <w:szCs w:val="20"/>
                <w:rtl/>
              </w:rPr>
            </w:pPr>
            <w:r w:rsidRPr="00535DAA">
              <w:rPr>
                <w:rFonts w:cs="David" w:hint="cs"/>
                <w:sz w:val="20"/>
                <w:szCs w:val="20"/>
                <w:rtl/>
              </w:rPr>
              <w:t xml:space="preserve">סדרי עדיפויות - מקרים בהם נדרש מאמץ מיוחד למניעת שיהוי </w:t>
            </w:r>
          </w:p>
        </w:tc>
        <w:tc>
          <w:tcPr>
            <w:tcW w:w="3224" w:type="dxa"/>
          </w:tcPr>
          <w:p w:rsidR="00F62189" w:rsidRPr="00535DAA" w:rsidRDefault="00F62189" w:rsidP="0015139B">
            <w:pPr>
              <w:pStyle w:val="P00"/>
              <w:tabs>
                <w:tab w:val="clear" w:pos="1928"/>
                <w:tab w:val="left" w:pos="2870"/>
              </w:tabs>
              <w:spacing w:before="72"/>
              <w:ind w:left="0"/>
              <w:rPr>
                <w:rStyle w:val="default"/>
                <w:rFonts w:cs="David"/>
                <w:sz w:val="20"/>
                <w:szCs w:val="20"/>
                <w:rtl/>
              </w:rPr>
            </w:pPr>
          </w:p>
        </w:tc>
        <w:tc>
          <w:tcPr>
            <w:tcW w:w="3298" w:type="dxa"/>
          </w:tcPr>
          <w:p w:rsidR="00F62189" w:rsidRPr="00535DAA" w:rsidRDefault="00AD4001" w:rsidP="00F44281">
            <w:pPr>
              <w:spacing w:line="276" w:lineRule="auto"/>
              <w:ind w:firstLine="0"/>
              <w:rPr>
                <w:rFonts w:cs="David"/>
                <w:sz w:val="20"/>
                <w:szCs w:val="20"/>
                <w:rtl/>
              </w:rPr>
            </w:pPr>
            <w:r w:rsidRPr="00535DAA">
              <w:rPr>
                <w:rFonts w:cs="David" w:hint="cs"/>
                <w:sz w:val="20"/>
                <w:szCs w:val="20"/>
                <w:rtl/>
              </w:rPr>
              <w:t>1. החשוד נמצא במעצר ויש כוונה לבקש המשך מעצר</w:t>
            </w:r>
          </w:p>
          <w:p w:rsidR="00AD4001" w:rsidRPr="00535DAA" w:rsidRDefault="00AD4001" w:rsidP="00F44281">
            <w:pPr>
              <w:spacing w:line="276" w:lineRule="auto"/>
              <w:ind w:firstLine="0"/>
              <w:rPr>
                <w:rFonts w:cs="David"/>
                <w:sz w:val="20"/>
                <w:szCs w:val="20"/>
                <w:rtl/>
              </w:rPr>
            </w:pPr>
            <w:r w:rsidRPr="00535DAA">
              <w:rPr>
                <w:rFonts w:cs="David" w:hint="cs"/>
                <w:sz w:val="20"/>
                <w:szCs w:val="20"/>
                <w:rtl/>
              </w:rPr>
              <w:t xml:space="preserve">2. החשוד קטין </w:t>
            </w:r>
          </w:p>
          <w:p w:rsidR="00AD4001" w:rsidRPr="00535DAA" w:rsidRDefault="00AD4001" w:rsidP="00AD4001">
            <w:pPr>
              <w:spacing w:line="276" w:lineRule="auto"/>
              <w:ind w:firstLine="0"/>
              <w:rPr>
                <w:rFonts w:cs="David"/>
                <w:sz w:val="20"/>
                <w:szCs w:val="20"/>
                <w:rtl/>
              </w:rPr>
            </w:pPr>
            <w:r w:rsidRPr="00535DAA">
              <w:rPr>
                <w:rFonts w:cs="David" w:hint="cs"/>
                <w:sz w:val="20"/>
                <w:szCs w:val="20"/>
                <w:rtl/>
              </w:rPr>
              <w:t xml:space="preserve">3. יש סיכוי שתתבקש השלמת חקירה </w:t>
            </w:r>
          </w:p>
          <w:p w:rsidR="00AD4001" w:rsidRPr="00535DAA" w:rsidRDefault="00AD4001" w:rsidP="00AD4001">
            <w:pPr>
              <w:spacing w:line="276" w:lineRule="auto"/>
              <w:ind w:firstLine="0"/>
              <w:rPr>
                <w:rFonts w:cs="David"/>
                <w:sz w:val="20"/>
                <w:szCs w:val="20"/>
                <w:rtl/>
              </w:rPr>
            </w:pPr>
            <w:r w:rsidRPr="00535DAA">
              <w:rPr>
                <w:rFonts w:cs="David" w:hint="cs"/>
                <w:sz w:val="20"/>
                <w:szCs w:val="20"/>
                <w:rtl/>
              </w:rPr>
              <w:t xml:space="preserve">4. יש סיכוי סביר שיועבר לטיפול התביעה המשטרתית </w:t>
            </w:r>
            <w:r w:rsidRPr="00535DAA">
              <w:rPr>
                <w:rFonts w:cs="David"/>
                <w:sz w:val="20"/>
                <w:szCs w:val="20"/>
                <w:rtl/>
              </w:rPr>
              <w:t>–</w:t>
            </w:r>
            <w:r w:rsidRPr="00535DAA">
              <w:rPr>
                <w:rFonts w:cs="David" w:hint="cs"/>
                <w:sz w:val="20"/>
                <w:szCs w:val="20"/>
                <w:rtl/>
              </w:rPr>
              <w:t xml:space="preserve"> ייעשה מאמץ להחזיר תוך </w:t>
            </w:r>
            <w:r w:rsidRPr="00535DAA">
              <w:rPr>
                <w:rFonts w:cs="David" w:hint="cs"/>
                <w:sz w:val="20"/>
                <w:szCs w:val="20"/>
                <w:u w:val="single"/>
                <w:rtl/>
              </w:rPr>
              <w:t>שבועיים</w:t>
            </w:r>
            <w:r w:rsidRPr="00535DAA">
              <w:rPr>
                <w:rFonts w:cs="David" w:hint="cs"/>
                <w:sz w:val="20"/>
                <w:szCs w:val="20"/>
                <w:rtl/>
              </w:rPr>
              <w:t xml:space="preserve"> </w:t>
            </w:r>
          </w:p>
          <w:p w:rsidR="00AD4001" w:rsidRPr="00535DAA" w:rsidRDefault="00AD4001" w:rsidP="00AD4001">
            <w:pPr>
              <w:spacing w:line="276" w:lineRule="auto"/>
              <w:ind w:firstLine="0"/>
              <w:rPr>
                <w:rFonts w:cs="David"/>
                <w:sz w:val="20"/>
                <w:szCs w:val="20"/>
                <w:rtl/>
              </w:rPr>
            </w:pPr>
            <w:r w:rsidRPr="00535DAA">
              <w:rPr>
                <w:rFonts w:cs="David" w:hint="cs"/>
                <w:sz w:val="20"/>
                <w:szCs w:val="20"/>
                <w:rtl/>
              </w:rPr>
              <w:t xml:space="preserve">5. החשוד מודה בעבירה </w:t>
            </w:r>
          </w:p>
          <w:p w:rsidR="00AD4001" w:rsidRPr="00535DAA" w:rsidRDefault="00AD4001" w:rsidP="00AD4001">
            <w:pPr>
              <w:spacing w:line="276" w:lineRule="auto"/>
              <w:ind w:firstLine="0"/>
              <w:rPr>
                <w:rFonts w:cs="David"/>
                <w:sz w:val="20"/>
                <w:szCs w:val="20"/>
                <w:rtl/>
              </w:rPr>
            </w:pPr>
            <w:r w:rsidRPr="00535DAA">
              <w:rPr>
                <w:rFonts w:cs="David" w:hint="cs"/>
                <w:sz w:val="20"/>
                <w:szCs w:val="20"/>
                <w:rtl/>
              </w:rPr>
              <w:t xml:space="preserve">6. נסיבות מיוחדות של החשוד </w:t>
            </w:r>
            <w:r w:rsidRPr="00535DAA">
              <w:rPr>
                <w:rFonts w:cs="David"/>
                <w:sz w:val="20"/>
                <w:szCs w:val="20"/>
                <w:rtl/>
              </w:rPr>
              <w:t>–</w:t>
            </w:r>
            <w:r w:rsidRPr="00535DAA">
              <w:rPr>
                <w:rFonts w:cs="David" w:hint="cs"/>
                <w:sz w:val="20"/>
                <w:szCs w:val="20"/>
                <w:rtl/>
              </w:rPr>
              <w:t xml:space="preserve"> תושב חוץ, לקראת גיוס וכד'</w:t>
            </w:r>
          </w:p>
          <w:p w:rsidR="00AD4001" w:rsidRPr="00535DAA" w:rsidRDefault="00AD4001" w:rsidP="00AD4001">
            <w:pPr>
              <w:spacing w:line="276" w:lineRule="auto"/>
              <w:ind w:firstLine="0"/>
              <w:rPr>
                <w:rFonts w:cs="David"/>
                <w:sz w:val="20"/>
                <w:szCs w:val="20"/>
                <w:rtl/>
              </w:rPr>
            </w:pPr>
            <w:r w:rsidRPr="00535DAA">
              <w:rPr>
                <w:rFonts w:cs="David" w:hint="cs"/>
                <w:sz w:val="20"/>
                <w:szCs w:val="20"/>
                <w:rtl/>
              </w:rPr>
              <w:t xml:space="preserve">7. נסיבות מיוחדות הגורמות נזק חריג לחשוד </w:t>
            </w:r>
            <w:r w:rsidRPr="00535DAA">
              <w:rPr>
                <w:rFonts w:cs="David"/>
                <w:sz w:val="20"/>
                <w:szCs w:val="20"/>
                <w:rtl/>
              </w:rPr>
              <w:t>–</w:t>
            </w:r>
            <w:r w:rsidRPr="00535DAA">
              <w:rPr>
                <w:rFonts w:cs="David" w:hint="cs"/>
                <w:sz w:val="20"/>
                <w:szCs w:val="20"/>
                <w:rtl/>
              </w:rPr>
              <w:t xml:space="preserve"> דיווח בתקשורת, איש ציבור בתקופה שלפני בחירות, עובד המושעה מעבודתו, איש עסקים ויש פגיעה בעסקיו</w:t>
            </w:r>
          </w:p>
          <w:p w:rsidR="00AD4001" w:rsidRPr="00535DAA" w:rsidRDefault="00AD4001" w:rsidP="00AD4001">
            <w:pPr>
              <w:spacing w:line="276" w:lineRule="auto"/>
              <w:ind w:firstLine="0"/>
              <w:rPr>
                <w:rFonts w:cs="David"/>
                <w:sz w:val="20"/>
                <w:szCs w:val="20"/>
                <w:rtl/>
              </w:rPr>
            </w:pPr>
            <w:r w:rsidRPr="00535DAA">
              <w:rPr>
                <w:rFonts w:cs="David" w:hint="cs"/>
                <w:sz w:val="20"/>
                <w:szCs w:val="20"/>
                <w:rtl/>
              </w:rPr>
              <w:t>8. חשש לנזק בניהול המשפט</w:t>
            </w:r>
          </w:p>
          <w:p w:rsidR="00AD4001" w:rsidRPr="00535DAA" w:rsidRDefault="00AD4001" w:rsidP="00AD4001">
            <w:pPr>
              <w:spacing w:line="276" w:lineRule="auto"/>
              <w:ind w:firstLine="0"/>
              <w:rPr>
                <w:rFonts w:cs="David"/>
                <w:sz w:val="20"/>
                <w:szCs w:val="20"/>
                <w:rtl/>
              </w:rPr>
            </w:pPr>
            <w:r w:rsidRPr="00535DAA">
              <w:rPr>
                <w:rFonts w:cs="David" w:hint="cs"/>
                <w:sz w:val="20"/>
                <w:szCs w:val="20"/>
                <w:rtl/>
              </w:rPr>
              <w:t xml:space="preserve">9. עניין ציבורי מיוחד </w:t>
            </w:r>
            <w:r w:rsidRPr="00535DAA">
              <w:rPr>
                <w:rFonts w:cs="David"/>
                <w:sz w:val="20"/>
                <w:szCs w:val="20"/>
                <w:rtl/>
              </w:rPr>
              <w:t>–</w:t>
            </w:r>
            <w:r w:rsidRPr="00535DAA">
              <w:rPr>
                <w:rFonts w:cs="David" w:hint="cs"/>
                <w:sz w:val="20"/>
                <w:szCs w:val="20"/>
                <w:rtl/>
              </w:rPr>
              <w:t xml:space="preserve"> מאבק בתופעה פלילית מסוימת למשל</w:t>
            </w:r>
          </w:p>
          <w:p w:rsidR="00AD4001" w:rsidRPr="00535DAA" w:rsidRDefault="00AD4001" w:rsidP="00F44281">
            <w:pPr>
              <w:spacing w:line="276" w:lineRule="auto"/>
              <w:ind w:firstLine="0"/>
              <w:rPr>
                <w:rFonts w:cs="David"/>
                <w:sz w:val="20"/>
                <w:szCs w:val="20"/>
                <w:rtl/>
              </w:rPr>
            </w:pPr>
          </w:p>
        </w:tc>
        <w:tc>
          <w:tcPr>
            <w:tcW w:w="2268" w:type="dxa"/>
          </w:tcPr>
          <w:p w:rsidR="00F62189" w:rsidRPr="00535DAA" w:rsidRDefault="00AD4001" w:rsidP="00F44281">
            <w:pPr>
              <w:spacing w:line="276" w:lineRule="auto"/>
              <w:ind w:firstLine="0"/>
              <w:rPr>
                <w:rFonts w:cs="David"/>
                <w:sz w:val="20"/>
                <w:szCs w:val="20"/>
                <w:rtl/>
              </w:rPr>
            </w:pPr>
            <w:r w:rsidRPr="00535DAA">
              <w:rPr>
                <w:rFonts w:cs="David" w:hint="cs"/>
                <w:sz w:val="20"/>
                <w:szCs w:val="20"/>
                <w:rtl/>
              </w:rPr>
              <w:t xml:space="preserve">ס' 14 לחוק הנוער </w:t>
            </w:r>
            <w:r w:rsidRPr="00535DAA">
              <w:rPr>
                <w:rFonts w:cs="David"/>
                <w:sz w:val="20"/>
                <w:szCs w:val="20"/>
                <w:rtl/>
              </w:rPr>
              <w:t>–</w:t>
            </w:r>
            <w:r w:rsidRPr="00535DAA">
              <w:rPr>
                <w:rFonts w:cs="David" w:hint="cs"/>
                <w:sz w:val="20"/>
                <w:szCs w:val="20"/>
                <w:rtl/>
              </w:rPr>
              <w:t xml:space="preserve"> העמדה לדין של קטין בחלוף שנה מביצוע העבירה רק באישור יועמ"ש (הואצל לפרקליט המדינה וסגניו) </w:t>
            </w:r>
          </w:p>
        </w:tc>
      </w:tr>
      <w:tr w:rsidR="00962E5D" w:rsidRPr="00535DAA" w:rsidTr="00962A0A">
        <w:tc>
          <w:tcPr>
            <w:tcW w:w="991" w:type="dxa"/>
            <w:shd w:val="clear" w:color="auto" w:fill="BFBFBF" w:themeFill="background1" w:themeFillShade="BF"/>
          </w:tcPr>
          <w:p w:rsidR="00962E5D" w:rsidRPr="00535DAA" w:rsidRDefault="004D1B77" w:rsidP="004D1B77">
            <w:pPr>
              <w:spacing w:line="276" w:lineRule="auto"/>
              <w:ind w:firstLine="0"/>
              <w:rPr>
                <w:rFonts w:cs="David"/>
                <w:sz w:val="20"/>
                <w:szCs w:val="20"/>
                <w:rtl/>
              </w:rPr>
            </w:pPr>
            <w:r w:rsidRPr="00535DAA">
              <w:rPr>
                <w:rFonts w:cs="David" w:hint="cs"/>
                <w:sz w:val="20"/>
                <w:szCs w:val="20"/>
                <w:rtl/>
              </w:rPr>
              <w:t>משך ה</w:t>
            </w:r>
            <w:r w:rsidR="00776C25" w:rsidRPr="00535DAA">
              <w:rPr>
                <w:rFonts w:cs="David" w:hint="cs"/>
                <w:sz w:val="20"/>
                <w:szCs w:val="20"/>
                <w:rtl/>
              </w:rPr>
              <w:t>תקופה ל</w:t>
            </w:r>
            <w:r w:rsidRPr="00535DAA">
              <w:rPr>
                <w:rFonts w:cs="David" w:hint="cs"/>
                <w:sz w:val="20"/>
                <w:szCs w:val="20"/>
                <w:rtl/>
              </w:rPr>
              <w:t>טיפול התביעה עד ל</w:t>
            </w:r>
            <w:r w:rsidR="00776C25" w:rsidRPr="00535DAA">
              <w:rPr>
                <w:rFonts w:cs="David" w:hint="cs"/>
                <w:sz w:val="20"/>
                <w:szCs w:val="20"/>
                <w:rtl/>
              </w:rPr>
              <w:t xml:space="preserve">הגשת כתב אישום </w:t>
            </w:r>
            <w:r w:rsidRPr="00535DAA">
              <w:rPr>
                <w:rFonts w:cs="David" w:hint="cs"/>
                <w:sz w:val="20"/>
                <w:szCs w:val="20"/>
                <w:rtl/>
              </w:rPr>
              <w:t xml:space="preserve"> </w:t>
            </w:r>
          </w:p>
        </w:tc>
        <w:tc>
          <w:tcPr>
            <w:tcW w:w="3224" w:type="dxa"/>
          </w:tcPr>
          <w:p w:rsidR="00776C25" w:rsidRPr="00535DAA" w:rsidRDefault="00C65549" w:rsidP="00776C25">
            <w:pPr>
              <w:pStyle w:val="P00"/>
              <w:tabs>
                <w:tab w:val="clear" w:pos="1928"/>
              </w:tabs>
              <w:spacing w:before="72"/>
              <w:ind w:left="0"/>
              <w:rPr>
                <w:rStyle w:val="default"/>
                <w:rFonts w:cs="David"/>
                <w:sz w:val="20"/>
                <w:szCs w:val="20"/>
                <w:rtl/>
              </w:rPr>
            </w:pPr>
            <w:r w:rsidRPr="00535DAA">
              <w:rPr>
                <w:rStyle w:val="default"/>
                <w:rFonts w:cs="David" w:hint="cs"/>
                <w:sz w:val="20"/>
                <w:szCs w:val="20"/>
                <w:rtl/>
              </w:rPr>
              <w:t xml:space="preserve">62(ד) </w:t>
            </w:r>
            <w:r w:rsidR="00776C25" w:rsidRPr="00535DAA">
              <w:rPr>
                <w:rStyle w:val="default"/>
                <w:rFonts w:cs="David" w:hint="cs"/>
                <w:sz w:val="20"/>
                <w:szCs w:val="20"/>
                <w:rtl/>
              </w:rPr>
              <w:t>כתב האישום יוגש לא יאוחר מ</w:t>
            </w:r>
            <w:r w:rsidR="004D1B77" w:rsidRPr="00535DAA">
              <w:rPr>
                <w:rStyle w:val="default"/>
                <w:rFonts w:cs="David" w:hint="cs"/>
                <w:sz w:val="20"/>
                <w:szCs w:val="20"/>
                <w:rtl/>
              </w:rPr>
              <w:t xml:space="preserve">התקופה הנל </w:t>
            </w:r>
            <w:r w:rsidR="004D1B77" w:rsidRPr="00535DAA">
              <w:rPr>
                <w:rStyle w:val="default"/>
                <w:rFonts w:cs="David" w:hint="cs"/>
                <w:sz w:val="20"/>
                <w:szCs w:val="20"/>
                <w:u w:val="single"/>
                <w:rtl/>
              </w:rPr>
              <w:t>מיום סיום החקירה</w:t>
            </w:r>
            <w:r w:rsidR="00776C25" w:rsidRPr="00535DAA">
              <w:rPr>
                <w:rStyle w:val="default"/>
                <w:rFonts w:cs="David" w:hint="cs"/>
                <w:sz w:val="20"/>
                <w:szCs w:val="20"/>
                <w:rtl/>
              </w:rPr>
              <w:t xml:space="preserve">: </w:t>
            </w:r>
          </w:p>
          <w:p w:rsidR="004D1B77" w:rsidRPr="00535DAA" w:rsidRDefault="00776C25" w:rsidP="00C60E7B">
            <w:pPr>
              <w:pStyle w:val="P00"/>
              <w:tabs>
                <w:tab w:val="clear" w:pos="1928"/>
              </w:tabs>
              <w:spacing w:before="72"/>
              <w:ind w:left="0"/>
              <w:rPr>
                <w:rStyle w:val="default"/>
                <w:rFonts w:eastAsia="MS Mincho" w:cs="David"/>
                <w:noProof w:val="0"/>
                <w:color w:val="000000"/>
                <w:spacing w:val="1"/>
                <w:sz w:val="20"/>
                <w:szCs w:val="20"/>
                <w:u w:val="single"/>
                <w:rtl/>
                <w:lang w:eastAsia="ja-JP"/>
              </w:rPr>
            </w:pPr>
            <w:r w:rsidRPr="00535DAA">
              <w:rPr>
                <w:rStyle w:val="default"/>
                <w:rFonts w:cs="David" w:hint="cs"/>
                <w:sz w:val="20"/>
                <w:szCs w:val="20"/>
                <w:rtl/>
              </w:rPr>
              <w:t xml:space="preserve">(1) בתיקים בטיפול תובע משטרתי </w:t>
            </w:r>
            <w:r w:rsidR="00AA5B39">
              <w:rPr>
                <w:rStyle w:val="default"/>
                <w:rFonts w:cs="David" w:hint="cs"/>
                <w:sz w:val="20"/>
                <w:szCs w:val="20"/>
                <w:rtl/>
              </w:rPr>
              <w:t xml:space="preserve">(כ-75% מהתיקים) </w:t>
            </w:r>
            <w:r w:rsidRPr="00535DAA">
              <w:rPr>
                <w:rStyle w:val="default"/>
                <w:rFonts w:cs="David"/>
                <w:sz w:val="20"/>
                <w:szCs w:val="20"/>
                <w:rtl/>
              </w:rPr>
              <w:t>–</w:t>
            </w:r>
            <w:r w:rsidRPr="00535DAA">
              <w:rPr>
                <w:rStyle w:val="default"/>
                <w:rFonts w:cs="David" w:hint="cs"/>
                <w:sz w:val="20"/>
                <w:szCs w:val="20"/>
                <w:rtl/>
              </w:rPr>
              <w:t xml:space="preserve"> עד תשעה חודשים</w:t>
            </w:r>
          </w:p>
          <w:p w:rsidR="004D1B77" w:rsidRPr="00535DAA" w:rsidRDefault="00776C25" w:rsidP="004D1B77">
            <w:pPr>
              <w:pStyle w:val="P00"/>
              <w:tabs>
                <w:tab w:val="clear" w:pos="1928"/>
              </w:tabs>
              <w:spacing w:before="72"/>
              <w:ind w:left="0"/>
              <w:rPr>
                <w:rStyle w:val="default"/>
                <w:rFonts w:cs="David"/>
                <w:sz w:val="20"/>
                <w:szCs w:val="20"/>
                <w:rtl/>
              </w:rPr>
            </w:pPr>
            <w:r w:rsidRPr="00535DAA">
              <w:rPr>
                <w:rStyle w:val="default"/>
                <w:rFonts w:cs="David" w:hint="cs"/>
                <w:sz w:val="20"/>
                <w:szCs w:val="20"/>
                <w:rtl/>
              </w:rPr>
              <w:t xml:space="preserve">(2) בתיקים בטיפול הפרקליטות </w:t>
            </w:r>
            <w:r w:rsidRPr="00535DAA">
              <w:rPr>
                <w:rStyle w:val="default"/>
                <w:rFonts w:cs="David"/>
                <w:sz w:val="20"/>
                <w:szCs w:val="20"/>
                <w:rtl/>
              </w:rPr>
              <w:t>–</w:t>
            </w:r>
            <w:r w:rsidRPr="00535DAA">
              <w:rPr>
                <w:rStyle w:val="default"/>
                <w:rFonts w:cs="David" w:hint="cs"/>
                <w:sz w:val="20"/>
                <w:szCs w:val="20"/>
                <w:rtl/>
              </w:rPr>
              <w:t xml:space="preserve"> עד שנים עשר חודשים </w:t>
            </w:r>
          </w:p>
          <w:p w:rsidR="00962E5D" w:rsidRPr="00535DAA" w:rsidRDefault="00776C25" w:rsidP="004D1B77">
            <w:pPr>
              <w:pStyle w:val="P00"/>
              <w:tabs>
                <w:tab w:val="clear" w:pos="1928"/>
              </w:tabs>
              <w:spacing w:before="72"/>
              <w:ind w:left="0"/>
              <w:rPr>
                <w:rFonts w:cs="David"/>
                <w:szCs w:val="20"/>
                <w:rtl/>
              </w:rPr>
            </w:pPr>
            <w:r w:rsidRPr="00535DAA">
              <w:rPr>
                <w:rStyle w:val="default"/>
                <w:rFonts w:cs="David" w:hint="cs"/>
                <w:sz w:val="20"/>
                <w:szCs w:val="20"/>
                <w:rtl/>
              </w:rPr>
              <w:t xml:space="preserve">(3) </w:t>
            </w:r>
            <w:r w:rsidR="00252C89" w:rsidRPr="00535DAA">
              <w:rPr>
                <w:rStyle w:val="default"/>
                <w:rFonts w:cs="David" w:hint="cs"/>
                <w:sz w:val="20"/>
                <w:szCs w:val="20"/>
                <w:rtl/>
              </w:rPr>
              <w:t>פשע</w:t>
            </w:r>
            <w:r w:rsidR="004D1B77" w:rsidRPr="00535DAA">
              <w:rPr>
                <w:rStyle w:val="default"/>
                <w:rFonts w:cs="David" w:hint="cs"/>
                <w:sz w:val="20"/>
                <w:szCs w:val="20"/>
                <w:rtl/>
              </w:rPr>
              <w:t>ים</w:t>
            </w:r>
            <w:r w:rsidR="00252C89" w:rsidRPr="00535DAA">
              <w:rPr>
                <w:rStyle w:val="default"/>
                <w:rFonts w:cs="David" w:hint="cs"/>
                <w:sz w:val="20"/>
                <w:szCs w:val="20"/>
                <w:rtl/>
              </w:rPr>
              <w:t xml:space="preserve"> חמור</w:t>
            </w:r>
            <w:r w:rsidR="004D1B77" w:rsidRPr="00535DAA">
              <w:rPr>
                <w:rStyle w:val="default"/>
                <w:rFonts w:cs="David" w:hint="cs"/>
                <w:sz w:val="20"/>
                <w:szCs w:val="20"/>
                <w:rtl/>
              </w:rPr>
              <w:t>ים</w:t>
            </w:r>
            <w:r w:rsidR="00252C89" w:rsidRPr="00535DAA">
              <w:rPr>
                <w:rStyle w:val="default"/>
                <w:rFonts w:cs="David" w:hint="cs"/>
                <w:sz w:val="20"/>
                <w:szCs w:val="20"/>
                <w:rtl/>
              </w:rPr>
              <w:t xml:space="preserve"> או עבירות שנדרשת בהן חקירה הכוללת גביית עדויות או השגת מסמכים מגורמים בחו"ל </w:t>
            </w:r>
            <w:r w:rsidRPr="00535DAA">
              <w:rPr>
                <w:rStyle w:val="default"/>
                <w:rFonts w:cs="David"/>
                <w:sz w:val="20"/>
                <w:szCs w:val="20"/>
                <w:rtl/>
              </w:rPr>
              <w:t>–</w:t>
            </w:r>
            <w:r w:rsidRPr="00535DAA">
              <w:rPr>
                <w:rStyle w:val="default"/>
                <w:rFonts w:cs="David" w:hint="cs"/>
                <w:sz w:val="20"/>
                <w:szCs w:val="20"/>
                <w:rtl/>
              </w:rPr>
              <w:t xml:space="preserve"> עד שמונה עשר חודשים;</w:t>
            </w:r>
          </w:p>
        </w:tc>
        <w:tc>
          <w:tcPr>
            <w:tcW w:w="3298" w:type="dxa"/>
          </w:tcPr>
          <w:p w:rsidR="004D1B77" w:rsidRPr="00535DAA" w:rsidRDefault="004D1B77" w:rsidP="00F44281">
            <w:pPr>
              <w:spacing w:line="276" w:lineRule="auto"/>
              <w:ind w:firstLine="0"/>
              <w:rPr>
                <w:rFonts w:cs="David"/>
                <w:sz w:val="20"/>
                <w:szCs w:val="20"/>
                <w:rtl/>
              </w:rPr>
            </w:pPr>
            <w:r w:rsidRPr="00535DAA">
              <w:rPr>
                <w:rFonts w:cs="David" w:hint="cs"/>
                <w:sz w:val="20"/>
                <w:szCs w:val="20"/>
                <w:rtl/>
              </w:rPr>
              <w:t xml:space="preserve">התקופה לסיום הטיפול מיום </w:t>
            </w:r>
            <w:r w:rsidRPr="00535DAA">
              <w:rPr>
                <w:rFonts w:cs="David" w:hint="cs"/>
                <w:sz w:val="20"/>
                <w:szCs w:val="20"/>
                <w:u w:val="single"/>
                <w:rtl/>
              </w:rPr>
              <w:t>מסירת תיק החקירה</w:t>
            </w:r>
            <w:r w:rsidRPr="00535DAA">
              <w:rPr>
                <w:rFonts w:cs="David" w:hint="cs"/>
                <w:sz w:val="20"/>
                <w:szCs w:val="20"/>
                <w:rtl/>
              </w:rPr>
              <w:t xml:space="preserve"> (קליטת התיק בתביעה):</w:t>
            </w:r>
          </w:p>
          <w:p w:rsidR="00962E5D" w:rsidRPr="00535DAA" w:rsidRDefault="00AD4001" w:rsidP="004D1B77">
            <w:pPr>
              <w:spacing w:line="276" w:lineRule="auto"/>
              <w:ind w:firstLine="0"/>
              <w:rPr>
                <w:rFonts w:cs="David"/>
                <w:sz w:val="20"/>
                <w:szCs w:val="20"/>
                <w:rtl/>
              </w:rPr>
            </w:pPr>
            <w:r w:rsidRPr="00535DAA">
              <w:rPr>
                <w:rFonts w:cs="David" w:hint="cs"/>
                <w:sz w:val="20"/>
                <w:szCs w:val="20"/>
                <w:rtl/>
              </w:rPr>
              <w:t xml:space="preserve">חטא </w:t>
            </w:r>
            <w:r w:rsidRPr="00535DAA">
              <w:rPr>
                <w:rFonts w:cs="David"/>
                <w:sz w:val="20"/>
                <w:szCs w:val="20"/>
                <w:rtl/>
              </w:rPr>
              <w:t>–</w:t>
            </w:r>
            <w:r w:rsidRPr="00535DAA">
              <w:rPr>
                <w:rFonts w:cs="David" w:hint="cs"/>
                <w:sz w:val="20"/>
                <w:szCs w:val="20"/>
                <w:rtl/>
              </w:rPr>
              <w:t xml:space="preserve"> 6 חודשים </w:t>
            </w:r>
          </w:p>
          <w:p w:rsidR="004D1B77" w:rsidRPr="00535DAA" w:rsidRDefault="004D1B77" w:rsidP="004D1B77">
            <w:pPr>
              <w:spacing w:line="276" w:lineRule="auto"/>
              <w:ind w:firstLine="0"/>
              <w:rPr>
                <w:rFonts w:cs="David"/>
                <w:sz w:val="20"/>
                <w:szCs w:val="20"/>
                <w:rtl/>
              </w:rPr>
            </w:pPr>
            <w:r w:rsidRPr="00535DAA">
              <w:rPr>
                <w:rFonts w:cs="David" w:hint="cs"/>
                <w:sz w:val="20"/>
                <w:szCs w:val="20"/>
                <w:rtl/>
              </w:rPr>
              <w:t xml:space="preserve">עוון </w:t>
            </w:r>
            <w:r w:rsidRPr="00535DAA">
              <w:rPr>
                <w:rFonts w:cs="David"/>
                <w:sz w:val="20"/>
                <w:szCs w:val="20"/>
                <w:rtl/>
              </w:rPr>
              <w:t>–</w:t>
            </w:r>
            <w:r w:rsidRPr="00535DAA">
              <w:rPr>
                <w:rFonts w:cs="David" w:hint="cs"/>
                <w:sz w:val="20"/>
                <w:szCs w:val="20"/>
                <w:rtl/>
              </w:rPr>
              <w:t xml:space="preserve"> 12 חודשים</w:t>
            </w:r>
          </w:p>
          <w:p w:rsidR="004D1B77" w:rsidRPr="00535DAA" w:rsidRDefault="004D1B77" w:rsidP="004D1B77">
            <w:pPr>
              <w:spacing w:line="276" w:lineRule="auto"/>
              <w:ind w:firstLine="0"/>
              <w:rPr>
                <w:rFonts w:cs="David"/>
                <w:sz w:val="20"/>
                <w:szCs w:val="20"/>
                <w:rtl/>
              </w:rPr>
            </w:pPr>
            <w:r w:rsidRPr="00535DAA">
              <w:rPr>
                <w:rFonts w:cs="David" w:hint="cs"/>
                <w:sz w:val="20"/>
                <w:szCs w:val="20"/>
                <w:rtl/>
              </w:rPr>
              <w:t xml:space="preserve">פשע עד 10 שנות מאסר ובעבירות עוון מיוחדות </w:t>
            </w:r>
            <w:r w:rsidRPr="00535DAA">
              <w:rPr>
                <w:rFonts w:cs="David"/>
                <w:sz w:val="20"/>
                <w:szCs w:val="20"/>
                <w:rtl/>
              </w:rPr>
              <w:t>–</w:t>
            </w:r>
            <w:r w:rsidRPr="00535DAA">
              <w:rPr>
                <w:rFonts w:cs="David" w:hint="cs"/>
                <w:sz w:val="20"/>
                <w:szCs w:val="20"/>
                <w:rtl/>
              </w:rPr>
              <w:t xml:space="preserve"> 18 חודשים </w:t>
            </w:r>
          </w:p>
          <w:p w:rsidR="004D1B77" w:rsidRPr="00535DAA" w:rsidRDefault="004D1B77" w:rsidP="004D1B77">
            <w:pPr>
              <w:spacing w:line="276" w:lineRule="auto"/>
              <w:ind w:firstLine="0"/>
              <w:rPr>
                <w:rFonts w:cs="David"/>
                <w:sz w:val="20"/>
                <w:szCs w:val="20"/>
                <w:rtl/>
              </w:rPr>
            </w:pPr>
            <w:r w:rsidRPr="00535DAA">
              <w:rPr>
                <w:rFonts w:cs="David" w:hint="cs"/>
                <w:sz w:val="20"/>
                <w:szCs w:val="20"/>
                <w:rtl/>
              </w:rPr>
              <w:t xml:space="preserve">פשע עשר שנות מאסר ומעלה  </w:t>
            </w:r>
            <w:r w:rsidRPr="00535DAA">
              <w:rPr>
                <w:rFonts w:cs="David"/>
                <w:sz w:val="20"/>
                <w:szCs w:val="20"/>
                <w:rtl/>
              </w:rPr>
              <w:t>–</w:t>
            </w:r>
            <w:r w:rsidRPr="00535DAA">
              <w:rPr>
                <w:rFonts w:cs="David" w:hint="cs"/>
                <w:sz w:val="20"/>
                <w:szCs w:val="20"/>
                <w:rtl/>
              </w:rPr>
              <w:t xml:space="preserve"> שנתיים </w:t>
            </w:r>
          </w:p>
        </w:tc>
        <w:tc>
          <w:tcPr>
            <w:tcW w:w="2268" w:type="dxa"/>
          </w:tcPr>
          <w:p w:rsidR="00962E5D" w:rsidRPr="00535DAA" w:rsidRDefault="00962E5D" w:rsidP="00F44281">
            <w:pPr>
              <w:spacing w:line="276" w:lineRule="auto"/>
              <w:ind w:firstLine="0"/>
              <w:rPr>
                <w:rFonts w:cs="David"/>
                <w:sz w:val="20"/>
                <w:szCs w:val="20"/>
                <w:rtl/>
              </w:rPr>
            </w:pPr>
          </w:p>
        </w:tc>
      </w:tr>
      <w:tr w:rsidR="00962E5D" w:rsidRPr="00535DAA" w:rsidTr="00962A0A">
        <w:tc>
          <w:tcPr>
            <w:tcW w:w="991" w:type="dxa"/>
            <w:shd w:val="clear" w:color="auto" w:fill="BFBFBF" w:themeFill="background1" w:themeFillShade="BF"/>
          </w:tcPr>
          <w:p w:rsidR="00962E5D" w:rsidRPr="00535DAA" w:rsidRDefault="00F62189" w:rsidP="00F44281">
            <w:pPr>
              <w:spacing w:line="276" w:lineRule="auto"/>
              <w:ind w:firstLine="0"/>
              <w:rPr>
                <w:rFonts w:cs="David"/>
                <w:sz w:val="20"/>
                <w:szCs w:val="20"/>
                <w:rtl/>
              </w:rPr>
            </w:pPr>
            <w:r w:rsidRPr="00535DAA">
              <w:rPr>
                <w:rFonts w:cs="David" w:hint="cs"/>
                <w:sz w:val="20"/>
                <w:szCs w:val="20"/>
                <w:rtl/>
              </w:rPr>
              <w:t xml:space="preserve">סנקציה </w:t>
            </w:r>
          </w:p>
        </w:tc>
        <w:tc>
          <w:tcPr>
            <w:tcW w:w="3224" w:type="dxa"/>
          </w:tcPr>
          <w:p w:rsidR="00F62189" w:rsidRPr="00535DAA" w:rsidRDefault="00C65549" w:rsidP="00F62189">
            <w:pPr>
              <w:pStyle w:val="P00"/>
              <w:tabs>
                <w:tab w:val="clear" w:pos="1928"/>
              </w:tabs>
              <w:spacing w:before="72"/>
              <w:ind w:left="0"/>
              <w:rPr>
                <w:rStyle w:val="default"/>
                <w:rFonts w:cs="David"/>
                <w:sz w:val="20"/>
                <w:szCs w:val="20"/>
                <w:rtl/>
              </w:rPr>
            </w:pPr>
            <w:r w:rsidRPr="00535DAA">
              <w:rPr>
                <w:rStyle w:val="default"/>
                <w:rFonts w:cs="David" w:hint="cs"/>
                <w:sz w:val="20"/>
                <w:szCs w:val="20"/>
                <w:rtl/>
              </w:rPr>
              <w:t>62</w:t>
            </w:r>
            <w:r w:rsidR="00F62189" w:rsidRPr="00535DAA">
              <w:rPr>
                <w:rStyle w:val="default"/>
                <w:rFonts w:cs="David" w:hint="cs"/>
                <w:sz w:val="20"/>
                <w:szCs w:val="20"/>
                <w:rtl/>
              </w:rPr>
              <w:t>(ה) לא ידון בית המשפט בכתב אישום שהוגש בחריגה מהתקופות.</w:t>
            </w:r>
          </w:p>
          <w:p w:rsidR="00962E5D" w:rsidRPr="00535DAA" w:rsidRDefault="00962E5D" w:rsidP="00F44281">
            <w:pPr>
              <w:spacing w:line="276" w:lineRule="auto"/>
              <w:ind w:firstLine="0"/>
              <w:rPr>
                <w:rFonts w:cs="David"/>
                <w:sz w:val="20"/>
                <w:szCs w:val="20"/>
                <w:rtl/>
              </w:rPr>
            </w:pPr>
          </w:p>
        </w:tc>
        <w:tc>
          <w:tcPr>
            <w:tcW w:w="3298" w:type="dxa"/>
          </w:tcPr>
          <w:p w:rsidR="00962E5D" w:rsidRPr="00535DAA" w:rsidRDefault="00962E5D" w:rsidP="00F44281">
            <w:pPr>
              <w:spacing w:line="276" w:lineRule="auto"/>
              <w:ind w:firstLine="0"/>
              <w:rPr>
                <w:rFonts w:cs="David"/>
                <w:sz w:val="20"/>
                <w:szCs w:val="20"/>
                <w:rtl/>
              </w:rPr>
            </w:pPr>
          </w:p>
        </w:tc>
        <w:tc>
          <w:tcPr>
            <w:tcW w:w="2268" w:type="dxa"/>
          </w:tcPr>
          <w:p w:rsidR="00962E5D" w:rsidRPr="00535DAA" w:rsidRDefault="00962E5D" w:rsidP="00F44281">
            <w:pPr>
              <w:spacing w:line="276" w:lineRule="auto"/>
              <w:ind w:firstLine="0"/>
              <w:rPr>
                <w:rFonts w:cs="David"/>
                <w:sz w:val="20"/>
                <w:szCs w:val="20"/>
                <w:rtl/>
              </w:rPr>
            </w:pPr>
          </w:p>
        </w:tc>
      </w:tr>
      <w:tr w:rsidR="00962E5D" w:rsidRPr="00535DAA" w:rsidTr="00962A0A">
        <w:tc>
          <w:tcPr>
            <w:tcW w:w="991" w:type="dxa"/>
            <w:shd w:val="clear" w:color="auto" w:fill="BFBFBF" w:themeFill="background1" w:themeFillShade="BF"/>
          </w:tcPr>
          <w:p w:rsidR="00962E5D" w:rsidRPr="00535DAA" w:rsidRDefault="004D1B77" w:rsidP="00F44281">
            <w:pPr>
              <w:spacing w:line="276" w:lineRule="auto"/>
              <w:ind w:firstLine="0"/>
              <w:rPr>
                <w:rFonts w:cs="David"/>
                <w:sz w:val="20"/>
                <w:szCs w:val="20"/>
                <w:rtl/>
              </w:rPr>
            </w:pPr>
            <w:r w:rsidRPr="00535DAA">
              <w:rPr>
                <w:rFonts w:cs="David" w:hint="cs"/>
                <w:sz w:val="20"/>
                <w:szCs w:val="20"/>
                <w:rtl/>
              </w:rPr>
              <w:t xml:space="preserve">הארכת התקופה </w:t>
            </w:r>
          </w:p>
        </w:tc>
        <w:tc>
          <w:tcPr>
            <w:tcW w:w="3224" w:type="dxa"/>
          </w:tcPr>
          <w:p w:rsidR="00962E5D" w:rsidRPr="00535DAA" w:rsidRDefault="00F970DF" w:rsidP="00F44281">
            <w:pPr>
              <w:spacing w:line="276" w:lineRule="auto"/>
              <w:ind w:firstLine="0"/>
              <w:rPr>
                <w:rFonts w:cs="David"/>
                <w:sz w:val="20"/>
                <w:szCs w:val="20"/>
                <w:rtl/>
              </w:rPr>
            </w:pPr>
            <w:r w:rsidRPr="00535DAA">
              <w:rPr>
                <w:rFonts w:cs="David" w:hint="cs"/>
                <w:sz w:val="20"/>
                <w:szCs w:val="20"/>
                <w:rtl/>
              </w:rPr>
              <w:t xml:space="preserve">אין אפשרות </w:t>
            </w:r>
          </w:p>
        </w:tc>
        <w:tc>
          <w:tcPr>
            <w:tcW w:w="3298" w:type="dxa"/>
          </w:tcPr>
          <w:p w:rsidR="00F970DF" w:rsidRPr="00535DAA" w:rsidRDefault="00F970DF" w:rsidP="00F44281">
            <w:pPr>
              <w:spacing w:line="276" w:lineRule="auto"/>
              <w:ind w:firstLine="0"/>
              <w:rPr>
                <w:rFonts w:cs="David"/>
                <w:sz w:val="20"/>
                <w:szCs w:val="20"/>
                <w:rtl/>
              </w:rPr>
            </w:pPr>
            <w:r w:rsidRPr="00535DAA">
              <w:rPr>
                <w:rFonts w:cs="David" w:hint="cs"/>
                <w:sz w:val="20"/>
                <w:szCs w:val="20"/>
                <w:rtl/>
              </w:rPr>
              <w:t xml:space="preserve">החלטה של פרקליט מחוז / ראש יחידת תביעות או סגנו </w:t>
            </w:r>
            <w:r w:rsidRPr="00535DAA">
              <w:rPr>
                <w:rFonts w:cs="David"/>
                <w:sz w:val="20"/>
                <w:szCs w:val="20"/>
                <w:rtl/>
              </w:rPr>
              <w:t>–</w:t>
            </w:r>
            <w:r w:rsidRPr="00535DAA">
              <w:rPr>
                <w:rFonts w:cs="David" w:hint="cs"/>
                <w:sz w:val="20"/>
                <w:szCs w:val="20"/>
                <w:rtl/>
              </w:rPr>
              <w:t xml:space="preserve"> 6 חודשים;</w:t>
            </w:r>
          </w:p>
          <w:p w:rsidR="00F970DF" w:rsidRPr="00535DAA" w:rsidRDefault="00F970DF" w:rsidP="00F44281">
            <w:pPr>
              <w:spacing w:line="276" w:lineRule="auto"/>
              <w:ind w:firstLine="0"/>
              <w:rPr>
                <w:rFonts w:cs="David"/>
                <w:sz w:val="20"/>
                <w:szCs w:val="20"/>
                <w:rtl/>
              </w:rPr>
            </w:pPr>
            <w:r w:rsidRPr="00535DAA">
              <w:rPr>
                <w:rFonts w:cs="David" w:hint="cs"/>
                <w:sz w:val="20"/>
                <w:szCs w:val="20"/>
                <w:rtl/>
              </w:rPr>
              <w:t xml:space="preserve">באישור יועמ"ש </w:t>
            </w:r>
            <w:r w:rsidRPr="00535DAA">
              <w:rPr>
                <w:rFonts w:cs="David"/>
                <w:sz w:val="20"/>
                <w:szCs w:val="20"/>
                <w:rtl/>
              </w:rPr>
              <w:t>–</w:t>
            </w:r>
            <w:r w:rsidRPr="00535DAA">
              <w:rPr>
                <w:rFonts w:cs="David" w:hint="cs"/>
                <w:sz w:val="20"/>
                <w:szCs w:val="20"/>
                <w:rtl/>
              </w:rPr>
              <w:t xml:space="preserve"> 6 חודשים נוספים ללא מגבלה. </w:t>
            </w:r>
          </w:p>
          <w:p w:rsidR="00962E5D" w:rsidRPr="00535DAA" w:rsidRDefault="00A72B3F" w:rsidP="00F44281">
            <w:pPr>
              <w:spacing w:line="276" w:lineRule="auto"/>
              <w:ind w:firstLine="0"/>
              <w:rPr>
                <w:rFonts w:cs="David"/>
                <w:sz w:val="20"/>
                <w:szCs w:val="20"/>
                <w:rtl/>
              </w:rPr>
            </w:pPr>
            <w:r w:rsidRPr="00535DAA">
              <w:rPr>
                <w:rFonts w:cs="David" w:hint="cs"/>
                <w:sz w:val="20"/>
                <w:szCs w:val="20"/>
                <w:rtl/>
              </w:rPr>
              <w:t xml:space="preserve">פרקי זמן שלא יימנו במסגרת התקופות וייחשבו כמצדיקים את הארכת פרק הזמן </w:t>
            </w:r>
            <w:r w:rsidRPr="00535DAA">
              <w:rPr>
                <w:rFonts w:cs="David" w:hint="cs"/>
                <w:sz w:val="20"/>
                <w:szCs w:val="20"/>
                <w:highlight w:val="yellow"/>
                <w:rtl/>
              </w:rPr>
              <w:t>(לא ברור)</w:t>
            </w:r>
            <w:r w:rsidRPr="00535DAA">
              <w:rPr>
                <w:rFonts w:cs="David" w:hint="cs"/>
                <w:sz w:val="20"/>
                <w:szCs w:val="20"/>
                <w:rtl/>
              </w:rPr>
              <w:t xml:space="preserve">: </w:t>
            </w:r>
          </w:p>
          <w:p w:rsidR="00A72B3F" w:rsidRPr="00535DAA" w:rsidRDefault="00A72B3F" w:rsidP="00F44281">
            <w:pPr>
              <w:spacing w:line="276" w:lineRule="auto"/>
              <w:ind w:firstLine="0"/>
              <w:rPr>
                <w:rFonts w:cs="David"/>
                <w:sz w:val="20"/>
                <w:szCs w:val="20"/>
                <w:rtl/>
              </w:rPr>
            </w:pPr>
            <w:r w:rsidRPr="00535DAA">
              <w:rPr>
                <w:rFonts w:cs="David" w:hint="cs"/>
                <w:sz w:val="20"/>
                <w:szCs w:val="20"/>
                <w:rtl/>
              </w:rPr>
              <w:t>(1) נבצר מרשות התביעה לגבש החלטה בשל היות החשוד או עד מרכזי מחוץ לישראל, מצבו הרפואי / הנפשי או שלא ניתן לאתרו</w:t>
            </w:r>
          </w:p>
          <w:p w:rsidR="00A72B3F" w:rsidRPr="00535DAA" w:rsidRDefault="00A72B3F" w:rsidP="00F44281">
            <w:pPr>
              <w:spacing w:line="276" w:lineRule="auto"/>
              <w:ind w:firstLine="0"/>
              <w:rPr>
                <w:rFonts w:cs="David"/>
                <w:sz w:val="20"/>
                <w:szCs w:val="20"/>
                <w:rtl/>
              </w:rPr>
            </w:pPr>
            <w:r w:rsidRPr="00535DAA">
              <w:rPr>
                <w:rFonts w:cs="David" w:hint="cs"/>
                <w:sz w:val="20"/>
                <w:szCs w:val="20"/>
                <w:rtl/>
              </w:rPr>
              <w:t xml:space="preserve">(2) ממועד הגשת בקשה לשימוע ועד למועד האחרון של החלטה בשימוע / ממועד ההודעה על אפשרות בקשה לשימוע ועד למועד האחרון לקיום השימוע </w:t>
            </w:r>
            <w:r w:rsidRPr="00535DAA">
              <w:rPr>
                <w:rFonts w:cs="David"/>
                <w:sz w:val="20"/>
                <w:szCs w:val="20"/>
                <w:rtl/>
              </w:rPr>
              <w:t>–</w:t>
            </w:r>
            <w:r w:rsidRPr="00535DAA">
              <w:rPr>
                <w:rFonts w:cs="David" w:hint="cs"/>
                <w:sz w:val="20"/>
                <w:szCs w:val="20"/>
                <w:rtl/>
              </w:rPr>
              <w:t xml:space="preserve"> אך לכל היותר חצי שנה</w:t>
            </w:r>
          </w:p>
          <w:p w:rsidR="00A72B3F" w:rsidRPr="00535DAA" w:rsidRDefault="00A72B3F" w:rsidP="00F44281">
            <w:pPr>
              <w:spacing w:line="276" w:lineRule="auto"/>
              <w:ind w:firstLine="0"/>
              <w:rPr>
                <w:rFonts w:cs="David"/>
                <w:sz w:val="20"/>
                <w:szCs w:val="20"/>
                <w:rtl/>
              </w:rPr>
            </w:pPr>
            <w:r w:rsidRPr="00535DAA">
              <w:rPr>
                <w:rFonts w:cs="David" w:hint="cs"/>
                <w:sz w:val="20"/>
                <w:szCs w:val="20"/>
                <w:rtl/>
              </w:rPr>
              <w:t xml:space="preserve">(3) ממועד הגשת ערר על החלטה שלא להעמיד לדין ועד קבלת החלטה </w:t>
            </w:r>
            <w:r w:rsidRPr="00535DAA">
              <w:rPr>
                <w:rFonts w:cs="David"/>
                <w:sz w:val="20"/>
                <w:szCs w:val="20"/>
                <w:rtl/>
              </w:rPr>
              <w:t>–</w:t>
            </w:r>
            <w:r w:rsidRPr="00535DAA">
              <w:rPr>
                <w:rFonts w:cs="David" w:hint="cs"/>
                <w:sz w:val="20"/>
                <w:szCs w:val="20"/>
                <w:rtl/>
              </w:rPr>
              <w:t xml:space="preserve"> אך לכל היותר שנה </w:t>
            </w:r>
          </w:p>
          <w:p w:rsidR="00A72B3F" w:rsidRPr="00535DAA" w:rsidRDefault="00A72B3F" w:rsidP="00F44281">
            <w:pPr>
              <w:spacing w:line="276" w:lineRule="auto"/>
              <w:ind w:firstLine="0"/>
              <w:rPr>
                <w:rFonts w:cs="David"/>
                <w:sz w:val="20"/>
                <w:szCs w:val="20"/>
                <w:rtl/>
              </w:rPr>
            </w:pPr>
            <w:r w:rsidRPr="00535DAA">
              <w:rPr>
                <w:rFonts w:cs="David" w:hint="cs"/>
                <w:sz w:val="20"/>
                <w:szCs w:val="20"/>
                <w:rtl/>
              </w:rPr>
              <w:t xml:space="preserve">(4) ההעמדה לדין נמנעה בשל חסינות </w:t>
            </w:r>
          </w:p>
          <w:p w:rsidR="00A72B3F" w:rsidRPr="00535DAA" w:rsidRDefault="00A72B3F" w:rsidP="00787A8E">
            <w:pPr>
              <w:spacing w:line="276" w:lineRule="auto"/>
              <w:ind w:firstLine="0"/>
              <w:rPr>
                <w:rFonts w:cs="David"/>
                <w:sz w:val="20"/>
                <w:szCs w:val="20"/>
                <w:rtl/>
              </w:rPr>
            </w:pPr>
            <w:r w:rsidRPr="00535DAA">
              <w:rPr>
                <w:rFonts w:cs="David" w:hint="cs"/>
                <w:sz w:val="20"/>
                <w:szCs w:val="20"/>
                <w:rtl/>
              </w:rPr>
              <w:t xml:space="preserve">(5) </w:t>
            </w:r>
            <w:r w:rsidR="00787A8E" w:rsidRPr="00535DAA">
              <w:rPr>
                <w:rFonts w:cs="David" w:hint="cs"/>
                <w:sz w:val="20"/>
                <w:szCs w:val="20"/>
                <w:rtl/>
              </w:rPr>
              <w:t>ממועד הגשת בקשה להשלמת חקירה לרבות המתנה לתעודת חיסיון ואישור שפיטה של מח"ש או הליך מכח חוק עזרה משפטית ועד להעברת חומר החקירה בחזרה לתובע</w:t>
            </w:r>
          </w:p>
          <w:p w:rsidR="00787A8E" w:rsidRPr="00535DAA" w:rsidRDefault="00787A8E" w:rsidP="00787A8E">
            <w:pPr>
              <w:spacing w:line="276" w:lineRule="auto"/>
              <w:ind w:firstLine="0"/>
              <w:rPr>
                <w:rFonts w:cs="David"/>
                <w:sz w:val="20"/>
                <w:szCs w:val="20"/>
                <w:rtl/>
              </w:rPr>
            </w:pPr>
            <w:r w:rsidRPr="00535DAA">
              <w:rPr>
                <w:rFonts w:cs="David" w:hint="cs"/>
                <w:sz w:val="20"/>
                <w:szCs w:val="20"/>
                <w:rtl/>
              </w:rPr>
              <w:t xml:space="preserve">(6) </w:t>
            </w:r>
            <w:r w:rsidR="00F970DF" w:rsidRPr="00535DAA">
              <w:rPr>
                <w:rFonts w:cs="David" w:hint="cs"/>
                <w:sz w:val="20"/>
                <w:szCs w:val="20"/>
                <w:rtl/>
              </w:rPr>
              <w:t xml:space="preserve">פרק הזמן שנדרש למו"מ עם החשוד לגבי סגירת תיק בהסדר מותנה </w:t>
            </w:r>
            <w:r w:rsidR="00F970DF" w:rsidRPr="00535DAA">
              <w:rPr>
                <w:rFonts w:cs="David"/>
                <w:sz w:val="20"/>
                <w:szCs w:val="20"/>
                <w:rtl/>
              </w:rPr>
              <w:t>–</w:t>
            </w:r>
            <w:r w:rsidR="00F970DF" w:rsidRPr="00535DAA">
              <w:rPr>
                <w:rFonts w:cs="David" w:hint="cs"/>
                <w:sz w:val="20"/>
                <w:szCs w:val="20"/>
                <w:rtl/>
              </w:rPr>
              <w:t xml:space="preserve"> אך עד חצי שנה</w:t>
            </w:r>
          </w:p>
          <w:p w:rsidR="00F970DF" w:rsidRPr="00535DAA" w:rsidRDefault="00F970DF" w:rsidP="00787A8E">
            <w:pPr>
              <w:spacing w:line="276" w:lineRule="auto"/>
              <w:ind w:firstLine="0"/>
              <w:rPr>
                <w:rFonts w:cs="David"/>
                <w:sz w:val="20"/>
                <w:szCs w:val="20"/>
                <w:rtl/>
              </w:rPr>
            </w:pPr>
            <w:r w:rsidRPr="00535DAA">
              <w:rPr>
                <w:rFonts w:cs="David" w:hint="cs"/>
                <w:sz w:val="20"/>
                <w:szCs w:val="20"/>
                <w:rtl/>
              </w:rPr>
              <w:t>(7) ממועד חתימה על הסדר מותנה ועד קיום מלוא התנאים ע"י החשוד/אי קיום תנאי מתנאי ההסדר/התגלה כי ההסדר הושג במרמה.</w:t>
            </w:r>
          </w:p>
          <w:p w:rsidR="00F970DF" w:rsidRPr="00535DAA" w:rsidRDefault="00F970DF" w:rsidP="00F970DF">
            <w:pPr>
              <w:spacing w:line="276" w:lineRule="auto"/>
              <w:ind w:firstLine="0"/>
              <w:rPr>
                <w:rFonts w:cs="David"/>
                <w:sz w:val="20"/>
                <w:szCs w:val="20"/>
                <w:rtl/>
              </w:rPr>
            </w:pPr>
            <w:r w:rsidRPr="00535DAA">
              <w:rPr>
                <w:rFonts w:cs="David" w:hint="cs"/>
                <w:sz w:val="20"/>
                <w:szCs w:val="20"/>
                <w:rtl/>
              </w:rPr>
              <w:t xml:space="preserve">(8) טעמים מיוחדים המצדיקים זאת לרבות סוג העבירה הנחקרת ונסיבות ביצועה, מורכבות התיק, היקף חומר הראיות שנאסף </w:t>
            </w:r>
            <w:r w:rsidRPr="00535DAA">
              <w:rPr>
                <w:rFonts w:cs="David"/>
                <w:sz w:val="20"/>
                <w:szCs w:val="20"/>
                <w:rtl/>
              </w:rPr>
              <w:t>–</w:t>
            </w:r>
            <w:r w:rsidRPr="00535DAA">
              <w:rPr>
                <w:rFonts w:cs="David" w:hint="cs"/>
                <w:sz w:val="20"/>
                <w:szCs w:val="20"/>
                <w:rtl/>
              </w:rPr>
              <w:t xml:space="preserve"> </w:t>
            </w:r>
            <w:r w:rsidR="00EF3D19" w:rsidRPr="00535DAA">
              <w:rPr>
                <w:rFonts w:cs="David" w:hint="cs"/>
                <w:sz w:val="20"/>
                <w:szCs w:val="20"/>
                <w:rtl/>
              </w:rPr>
              <w:t xml:space="preserve">רק בהחלטת </w:t>
            </w:r>
            <w:r w:rsidRPr="00535DAA">
              <w:rPr>
                <w:rFonts w:cs="David" w:hint="cs"/>
                <w:sz w:val="20"/>
                <w:szCs w:val="20"/>
                <w:rtl/>
              </w:rPr>
              <w:t xml:space="preserve">פרקליט מחוז </w:t>
            </w:r>
            <w:r w:rsidR="00EF3D19" w:rsidRPr="00535DAA">
              <w:rPr>
                <w:rFonts w:cs="David" w:hint="cs"/>
                <w:sz w:val="20"/>
                <w:szCs w:val="20"/>
                <w:rtl/>
              </w:rPr>
              <w:t xml:space="preserve">/ ראש יחידת תביעות או סגנו.  </w:t>
            </w:r>
          </w:p>
          <w:p w:rsidR="009C2F9A" w:rsidRPr="00535DAA" w:rsidRDefault="00EF3D19" w:rsidP="00EF3D19">
            <w:pPr>
              <w:spacing w:line="276" w:lineRule="auto"/>
              <w:ind w:firstLine="0"/>
              <w:rPr>
                <w:rFonts w:cs="David"/>
                <w:sz w:val="20"/>
                <w:szCs w:val="20"/>
                <w:rtl/>
              </w:rPr>
            </w:pPr>
            <w:r w:rsidRPr="00535DAA">
              <w:rPr>
                <w:rFonts w:cs="David" w:hint="cs"/>
                <w:sz w:val="20"/>
                <w:szCs w:val="20"/>
                <w:rtl/>
              </w:rPr>
              <w:t xml:space="preserve">בכל מקרה </w:t>
            </w:r>
            <w:r w:rsidR="00F970DF" w:rsidRPr="00535DAA">
              <w:rPr>
                <w:rFonts w:cs="David" w:hint="cs"/>
                <w:sz w:val="20"/>
                <w:szCs w:val="20"/>
                <w:rtl/>
              </w:rPr>
              <w:t xml:space="preserve">במקרה שמתקיים </w:t>
            </w:r>
            <w:r w:rsidRPr="00535DAA">
              <w:rPr>
                <w:rFonts w:cs="David" w:hint="cs"/>
                <w:sz w:val="20"/>
                <w:szCs w:val="20"/>
                <w:rtl/>
              </w:rPr>
              <w:t>אחד ה</w:t>
            </w:r>
            <w:r w:rsidR="00F970DF" w:rsidRPr="00535DAA">
              <w:rPr>
                <w:rFonts w:cs="David" w:hint="cs"/>
                <w:sz w:val="20"/>
                <w:szCs w:val="20"/>
                <w:rtl/>
              </w:rPr>
              <w:t>תנאי</w:t>
            </w:r>
            <w:r w:rsidRPr="00535DAA">
              <w:rPr>
                <w:rFonts w:cs="David" w:hint="cs"/>
                <w:sz w:val="20"/>
                <w:szCs w:val="20"/>
                <w:rtl/>
              </w:rPr>
              <w:t xml:space="preserve">ם </w:t>
            </w:r>
            <w:r w:rsidR="00F970DF" w:rsidRPr="00535DAA">
              <w:rPr>
                <w:rFonts w:cs="David"/>
                <w:sz w:val="20"/>
                <w:szCs w:val="20"/>
                <w:rtl/>
              </w:rPr>
              <w:t>–</w:t>
            </w:r>
            <w:r w:rsidR="00F970DF" w:rsidRPr="00535DAA">
              <w:rPr>
                <w:rFonts w:cs="David" w:hint="cs"/>
                <w:sz w:val="20"/>
                <w:szCs w:val="20"/>
                <w:rtl/>
              </w:rPr>
              <w:t xml:space="preserve"> על התובע לתעד זאת בכתב ולדווח לפרקליט המחוז/ ראש יחידת התביעות או סגנו לפי הענין, סמוך לתום המועד הקבוע להגשת כתב אישום. ידווח אחת ל-6 חודשים על ההתקדמות ויפעל לפי הנחיות הממונים.</w:t>
            </w:r>
          </w:p>
          <w:p w:rsidR="00F970DF" w:rsidRPr="00535DAA" w:rsidRDefault="009C2F9A" w:rsidP="00EF3D19">
            <w:pPr>
              <w:spacing w:line="276" w:lineRule="auto"/>
              <w:ind w:firstLine="0"/>
              <w:rPr>
                <w:rFonts w:cs="David"/>
                <w:sz w:val="20"/>
                <w:szCs w:val="20"/>
                <w:rtl/>
              </w:rPr>
            </w:pPr>
            <w:r w:rsidRPr="00535DAA">
              <w:rPr>
                <w:rFonts w:cs="David" w:hint="cs"/>
                <w:sz w:val="20"/>
                <w:szCs w:val="20"/>
                <w:rtl/>
              </w:rPr>
              <w:t xml:space="preserve">הממונה צריך לנהל מעקב שוטף ולשקול צעדים במקרה של סטייה מהוראות ההנחיה. </w:t>
            </w:r>
            <w:r w:rsidR="00F970DF" w:rsidRPr="00535DAA">
              <w:rPr>
                <w:rFonts w:cs="David" w:hint="cs"/>
                <w:sz w:val="20"/>
                <w:szCs w:val="20"/>
                <w:rtl/>
              </w:rPr>
              <w:t xml:space="preserve"> </w:t>
            </w:r>
          </w:p>
          <w:p w:rsidR="00F970DF" w:rsidRPr="00535DAA" w:rsidRDefault="00F970DF" w:rsidP="00F970DF">
            <w:pPr>
              <w:spacing w:line="276" w:lineRule="auto"/>
              <w:ind w:firstLine="0"/>
              <w:rPr>
                <w:rFonts w:cs="David"/>
                <w:sz w:val="20"/>
                <w:szCs w:val="20"/>
                <w:rtl/>
              </w:rPr>
            </w:pPr>
          </w:p>
        </w:tc>
        <w:tc>
          <w:tcPr>
            <w:tcW w:w="2268" w:type="dxa"/>
          </w:tcPr>
          <w:p w:rsidR="00962E5D" w:rsidRPr="00535DAA" w:rsidRDefault="00962E5D" w:rsidP="00F44281">
            <w:pPr>
              <w:spacing w:line="276" w:lineRule="auto"/>
              <w:ind w:firstLine="0"/>
              <w:rPr>
                <w:rFonts w:cs="David"/>
                <w:sz w:val="20"/>
                <w:szCs w:val="20"/>
                <w:rtl/>
              </w:rPr>
            </w:pPr>
          </w:p>
        </w:tc>
      </w:tr>
      <w:tr w:rsidR="00962E5D" w:rsidRPr="00535DAA" w:rsidTr="00962A0A">
        <w:tc>
          <w:tcPr>
            <w:tcW w:w="991" w:type="dxa"/>
            <w:shd w:val="clear" w:color="auto" w:fill="BFBFBF" w:themeFill="background1" w:themeFillShade="BF"/>
          </w:tcPr>
          <w:p w:rsidR="00962E5D" w:rsidRPr="00535DAA" w:rsidRDefault="00F970DF" w:rsidP="00F44281">
            <w:pPr>
              <w:spacing w:line="276" w:lineRule="auto"/>
              <w:ind w:firstLine="0"/>
              <w:rPr>
                <w:rFonts w:cs="David"/>
                <w:sz w:val="20"/>
                <w:szCs w:val="20"/>
                <w:rtl/>
              </w:rPr>
            </w:pPr>
            <w:r w:rsidRPr="00535DAA">
              <w:rPr>
                <w:rFonts w:cs="David" w:hint="cs"/>
                <w:sz w:val="20"/>
                <w:szCs w:val="20"/>
                <w:rtl/>
              </w:rPr>
              <w:t xml:space="preserve">מספר חשודים / מספר עבירות </w:t>
            </w:r>
          </w:p>
        </w:tc>
        <w:tc>
          <w:tcPr>
            <w:tcW w:w="3224" w:type="dxa"/>
          </w:tcPr>
          <w:p w:rsidR="00962E5D" w:rsidRPr="00535DAA" w:rsidRDefault="00F970DF" w:rsidP="00F44281">
            <w:pPr>
              <w:spacing w:line="276" w:lineRule="auto"/>
              <w:ind w:firstLine="0"/>
              <w:rPr>
                <w:rFonts w:cs="David"/>
                <w:sz w:val="20"/>
                <w:szCs w:val="20"/>
                <w:rtl/>
              </w:rPr>
            </w:pPr>
            <w:r w:rsidRPr="00535DAA">
              <w:rPr>
                <w:rFonts w:cs="David" w:hint="cs"/>
                <w:sz w:val="20"/>
                <w:szCs w:val="20"/>
                <w:rtl/>
              </w:rPr>
              <w:t xml:space="preserve">אין התיחסות </w:t>
            </w:r>
          </w:p>
        </w:tc>
        <w:tc>
          <w:tcPr>
            <w:tcW w:w="3298" w:type="dxa"/>
          </w:tcPr>
          <w:p w:rsidR="00962E5D" w:rsidRPr="00535DAA" w:rsidRDefault="00F970DF" w:rsidP="00F44281">
            <w:pPr>
              <w:spacing w:line="276" w:lineRule="auto"/>
              <w:ind w:firstLine="0"/>
              <w:rPr>
                <w:rFonts w:cs="David"/>
                <w:sz w:val="20"/>
                <w:szCs w:val="20"/>
                <w:rtl/>
              </w:rPr>
            </w:pPr>
            <w:r w:rsidRPr="00535DAA">
              <w:rPr>
                <w:rFonts w:cs="David" w:hint="cs"/>
                <w:sz w:val="20"/>
                <w:szCs w:val="20"/>
                <w:rtl/>
              </w:rPr>
              <w:t xml:space="preserve">הולכים לפי התקופה הארוכה יותר </w:t>
            </w:r>
          </w:p>
        </w:tc>
        <w:tc>
          <w:tcPr>
            <w:tcW w:w="2268" w:type="dxa"/>
          </w:tcPr>
          <w:p w:rsidR="00962E5D" w:rsidRPr="00535DAA" w:rsidRDefault="00962E5D" w:rsidP="00F44281">
            <w:pPr>
              <w:spacing w:line="276" w:lineRule="auto"/>
              <w:ind w:firstLine="0"/>
              <w:rPr>
                <w:rFonts w:cs="David"/>
                <w:sz w:val="20"/>
                <w:szCs w:val="20"/>
                <w:rtl/>
              </w:rPr>
            </w:pPr>
          </w:p>
        </w:tc>
      </w:tr>
      <w:tr w:rsidR="009C2F9A" w:rsidRPr="00535DAA" w:rsidTr="00962A0A">
        <w:tc>
          <w:tcPr>
            <w:tcW w:w="991" w:type="dxa"/>
            <w:shd w:val="clear" w:color="auto" w:fill="BFBFBF" w:themeFill="background1" w:themeFillShade="BF"/>
          </w:tcPr>
          <w:p w:rsidR="009C2F9A" w:rsidRPr="00535DAA" w:rsidRDefault="009C2F9A" w:rsidP="00F44281">
            <w:pPr>
              <w:spacing w:line="276" w:lineRule="auto"/>
              <w:ind w:firstLine="0"/>
              <w:rPr>
                <w:rFonts w:cs="David"/>
                <w:sz w:val="20"/>
                <w:szCs w:val="20"/>
                <w:rtl/>
              </w:rPr>
            </w:pPr>
            <w:r w:rsidRPr="00535DAA">
              <w:rPr>
                <w:rFonts w:cs="David" w:hint="cs"/>
                <w:sz w:val="20"/>
                <w:szCs w:val="20"/>
                <w:rtl/>
              </w:rPr>
              <w:t xml:space="preserve">דיווח </w:t>
            </w:r>
          </w:p>
        </w:tc>
        <w:tc>
          <w:tcPr>
            <w:tcW w:w="3224" w:type="dxa"/>
          </w:tcPr>
          <w:p w:rsidR="009C2F9A" w:rsidRPr="00535DAA" w:rsidRDefault="009C2F9A" w:rsidP="00F44281">
            <w:pPr>
              <w:spacing w:line="276" w:lineRule="auto"/>
              <w:ind w:firstLine="0"/>
              <w:rPr>
                <w:rFonts w:cs="David"/>
                <w:sz w:val="20"/>
                <w:szCs w:val="20"/>
                <w:rtl/>
              </w:rPr>
            </w:pPr>
          </w:p>
        </w:tc>
        <w:tc>
          <w:tcPr>
            <w:tcW w:w="3298" w:type="dxa"/>
          </w:tcPr>
          <w:p w:rsidR="009C2F9A" w:rsidRPr="00535DAA" w:rsidRDefault="009C2F9A" w:rsidP="009C2F9A">
            <w:pPr>
              <w:spacing w:line="276" w:lineRule="auto"/>
              <w:ind w:firstLine="0"/>
              <w:rPr>
                <w:rFonts w:cs="David"/>
                <w:sz w:val="20"/>
                <w:szCs w:val="20"/>
                <w:rtl/>
              </w:rPr>
            </w:pPr>
            <w:r w:rsidRPr="00535DAA">
              <w:rPr>
                <w:rFonts w:cs="David" w:hint="cs"/>
                <w:sz w:val="20"/>
                <w:szCs w:val="20"/>
                <w:rtl/>
              </w:rPr>
              <w:t xml:space="preserve">פרקליט מחוז / ראש יחיד תביעות צריך לדווח מדי שנה ליועמ"ש לממשלה על אישורים להארכת התקופה, הנימוקים לכך והפעולות שננקטו לקבלת החלטה בהקדם ובמקרים של סטיה מההנחיה.  </w:t>
            </w:r>
          </w:p>
        </w:tc>
        <w:tc>
          <w:tcPr>
            <w:tcW w:w="2268" w:type="dxa"/>
          </w:tcPr>
          <w:p w:rsidR="009C2F9A" w:rsidRPr="00535DAA" w:rsidRDefault="009C2F9A" w:rsidP="00F44281">
            <w:pPr>
              <w:spacing w:line="276" w:lineRule="auto"/>
              <w:ind w:firstLine="0"/>
              <w:rPr>
                <w:rFonts w:cs="David"/>
                <w:sz w:val="20"/>
                <w:szCs w:val="20"/>
                <w:rtl/>
              </w:rPr>
            </w:pPr>
          </w:p>
        </w:tc>
      </w:tr>
    </w:tbl>
    <w:p w:rsidR="008936D7" w:rsidRPr="00535DAA" w:rsidRDefault="008936D7" w:rsidP="00F44281">
      <w:pPr>
        <w:spacing w:line="276" w:lineRule="auto"/>
        <w:ind w:firstLine="0"/>
        <w:rPr>
          <w:rFonts w:cs="David"/>
          <w:sz w:val="20"/>
          <w:szCs w:val="20"/>
          <w:rtl/>
        </w:rPr>
      </w:pPr>
      <w:r w:rsidRPr="00535DAA">
        <w:rPr>
          <w:rFonts w:cs="David" w:hint="cs"/>
          <w:sz w:val="20"/>
          <w:szCs w:val="20"/>
          <w:rtl/>
        </w:rPr>
        <w:t xml:space="preserve"> </w:t>
      </w:r>
    </w:p>
    <w:sectPr w:rsidR="008936D7" w:rsidRPr="00535DAA" w:rsidSect="00D276EF">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252F" w:rsidRDefault="0088252F" w:rsidP="00E05290">
      <w:pPr>
        <w:spacing w:before="0" w:line="240" w:lineRule="auto"/>
      </w:pPr>
      <w:r>
        <w:separator/>
      </w:r>
    </w:p>
  </w:endnote>
  <w:endnote w:type="continuationSeparator" w:id="0">
    <w:p w:rsidR="0088252F" w:rsidRDefault="0088252F" w:rsidP="00E05290">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iriam">
    <w:panose1 w:val="020B050205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44728980"/>
      <w:docPartObj>
        <w:docPartGallery w:val="Page Numbers (Bottom of Page)"/>
        <w:docPartUnique/>
      </w:docPartObj>
    </w:sdtPr>
    <w:sdtEndPr>
      <w:rPr>
        <w:sz w:val="16"/>
        <w:szCs w:val="16"/>
        <w:cs/>
      </w:rPr>
    </w:sdtEndPr>
    <w:sdtContent>
      <w:p w:rsidR="00021A13" w:rsidRDefault="00021A13">
        <w:pPr>
          <w:pStyle w:val="aa"/>
          <w:jc w:val="center"/>
          <w:rPr>
            <w:rtl/>
            <w:cs/>
          </w:rPr>
        </w:pPr>
        <w:r w:rsidRPr="005C284A">
          <w:rPr>
            <w:sz w:val="16"/>
            <w:szCs w:val="16"/>
          </w:rPr>
          <w:fldChar w:fldCharType="begin"/>
        </w:r>
        <w:r w:rsidRPr="005C284A">
          <w:rPr>
            <w:sz w:val="16"/>
            <w:szCs w:val="16"/>
            <w:rtl/>
            <w:cs/>
          </w:rPr>
          <w:instrText>PAGE   \* MERGEFORMAT</w:instrText>
        </w:r>
        <w:r w:rsidRPr="005C284A">
          <w:rPr>
            <w:sz w:val="16"/>
            <w:szCs w:val="16"/>
          </w:rPr>
          <w:fldChar w:fldCharType="separate"/>
        </w:r>
        <w:r w:rsidR="00EE5BEC" w:rsidRPr="00EE5BEC">
          <w:rPr>
            <w:noProof/>
            <w:sz w:val="16"/>
            <w:szCs w:val="16"/>
            <w:rtl/>
            <w:lang w:val="he-IL"/>
          </w:rPr>
          <w:t>1</w:t>
        </w:r>
        <w:r w:rsidRPr="005C284A">
          <w:rPr>
            <w:sz w:val="16"/>
            <w:szCs w:val="16"/>
          </w:rPr>
          <w:fldChar w:fldCharType="end"/>
        </w:r>
      </w:p>
    </w:sdtContent>
  </w:sdt>
  <w:p w:rsidR="00021A13" w:rsidRDefault="00021A13">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252F" w:rsidRDefault="0088252F" w:rsidP="00E05290">
      <w:pPr>
        <w:spacing w:before="0" w:line="240" w:lineRule="auto"/>
      </w:pPr>
      <w:r>
        <w:separator/>
      </w:r>
    </w:p>
  </w:footnote>
  <w:footnote w:type="continuationSeparator" w:id="0">
    <w:p w:rsidR="0088252F" w:rsidRDefault="0088252F" w:rsidP="00E05290">
      <w:pPr>
        <w:spacing w:before="0" w:line="240" w:lineRule="auto"/>
      </w:pPr>
      <w:r>
        <w:continuationSeparator/>
      </w:r>
    </w:p>
  </w:footnote>
  <w:footnote w:id="1">
    <w:p w:rsidR="00021A13" w:rsidRDefault="00021A13" w:rsidP="008F48F0">
      <w:pPr>
        <w:pStyle w:val="a3"/>
        <w:ind w:firstLine="141"/>
        <w:rPr>
          <w:rtl/>
        </w:rPr>
      </w:pPr>
      <w:r>
        <w:rPr>
          <w:rStyle w:val="a5"/>
        </w:rPr>
        <w:footnoteRef/>
      </w:r>
      <w:r>
        <w:rPr>
          <w:rtl/>
        </w:rPr>
        <w:t xml:space="preserve"> </w:t>
      </w:r>
      <w:r w:rsidRPr="00E1658E">
        <w:rPr>
          <w:rFonts w:hint="cs"/>
          <w:sz w:val="20"/>
          <w:rtl/>
        </w:rPr>
        <w:t xml:space="preserve">ההסדר </w:t>
      </w:r>
      <w:r>
        <w:rPr>
          <w:rFonts w:hint="cs"/>
          <w:sz w:val="20"/>
          <w:rtl/>
        </w:rPr>
        <w:t xml:space="preserve">בהצעת חוק זו </w:t>
      </w:r>
      <w:r w:rsidRPr="00E1658E">
        <w:rPr>
          <w:rFonts w:hint="cs"/>
          <w:sz w:val="20"/>
          <w:rtl/>
        </w:rPr>
        <w:t>קובע כי תיק החקירה ייסגר אם כתב האישום לא הוגש תוך שנתיים ממועד פתיחת החקירה.</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A1D5B"/>
    <w:multiLevelType w:val="hybridMultilevel"/>
    <w:tmpl w:val="FAF884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E030F3"/>
    <w:multiLevelType w:val="hybridMultilevel"/>
    <w:tmpl w:val="16CA92B8"/>
    <w:lvl w:ilvl="0" w:tplc="9D8A36B4">
      <w:start w:val="1"/>
      <w:numFmt w:val="hebrew1"/>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2" w15:restartNumberingAfterBreak="0">
    <w:nsid w:val="066867F8"/>
    <w:multiLevelType w:val="hybridMultilevel"/>
    <w:tmpl w:val="ED7EA19E"/>
    <w:lvl w:ilvl="0" w:tplc="A7A87B60">
      <w:start w:val="1"/>
      <w:numFmt w:val="decimal"/>
      <w:lvlText w:val="%1."/>
      <w:lvlJc w:val="left"/>
      <w:pPr>
        <w:ind w:left="720" w:hanging="360"/>
      </w:pPr>
      <w:rPr>
        <w:rFonts w:ascii="Hadasa Roso SL" w:eastAsia="MS Mincho" w:hAnsi="Hadasa Roso SL" w:cs="David"/>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F87AB9"/>
    <w:multiLevelType w:val="hybridMultilevel"/>
    <w:tmpl w:val="7242DD94"/>
    <w:lvl w:ilvl="0" w:tplc="047AF92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601751"/>
    <w:multiLevelType w:val="hybridMultilevel"/>
    <w:tmpl w:val="149872A6"/>
    <w:lvl w:ilvl="0" w:tplc="57C6A358">
      <w:start w:val="1"/>
      <w:numFmt w:val="decimal"/>
      <w:lvlText w:val="%1."/>
      <w:lvlJc w:val="left"/>
      <w:pPr>
        <w:ind w:left="1873" w:hanging="360"/>
      </w:pPr>
      <w:rPr>
        <w:rFonts w:hint="default"/>
      </w:rPr>
    </w:lvl>
    <w:lvl w:ilvl="1" w:tplc="04090019" w:tentative="1">
      <w:start w:val="1"/>
      <w:numFmt w:val="lowerLetter"/>
      <w:lvlText w:val="%2."/>
      <w:lvlJc w:val="left"/>
      <w:pPr>
        <w:ind w:left="2593" w:hanging="360"/>
      </w:pPr>
    </w:lvl>
    <w:lvl w:ilvl="2" w:tplc="0409001B" w:tentative="1">
      <w:start w:val="1"/>
      <w:numFmt w:val="lowerRoman"/>
      <w:lvlText w:val="%3."/>
      <w:lvlJc w:val="right"/>
      <w:pPr>
        <w:ind w:left="3313" w:hanging="180"/>
      </w:pPr>
    </w:lvl>
    <w:lvl w:ilvl="3" w:tplc="0409000F" w:tentative="1">
      <w:start w:val="1"/>
      <w:numFmt w:val="decimal"/>
      <w:lvlText w:val="%4."/>
      <w:lvlJc w:val="left"/>
      <w:pPr>
        <w:ind w:left="4033" w:hanging="360"/>
      </w:pPr>
    </w:lvl>
    <w:lvl w:ilvl="4" w:tplc="04090019" w:tentative="1">
      <w:start w:val="1"/>
      <w:numFmt w:val="lowerLetter"/>
      <w:lvlText w:val="%5."/>
      <w:lvlJc w:val="left"/>
      <w:pPr>
        <w:ind w:left="4753" w:hanging="360"/>
      </w:pPr>
    </w:lvl>
    <w:lvl w:ilvl="5" w:tplc="0409001B" w:tentative="1">
      <w:start w:val="1"/>
      <w:numFmt w:val="lowerRoman"/>
      <w:lvlText w:val="%6."/>
      <w:lvlJc w:val="right"/>
      <w:pPr>
        <w:ind w:left="5473" w:hanging="180"/>
      </w:pPr>
    </w:lvl>
    <w:lvl w:ilvl="6" w:tplc="0409000F" w:tentative="1">
      <w:start w:val="1"/>
      <w:numFmt w:val="decimal"/>
      <w:lvlText w:val="%7."/>
      <w:lvlJc w:val="left"/>
      <w:pPr>
        <w:ind w:left="6193" w:hanging="360"/>
      </w:pPr>
    </w:lvl>
    <w:lvl w:ilvl="7" w:tplc="04090019" w:tentative="1">
      <w:start w:val="1"/>
      <w:numFmt w:val="lowerLetter"/>
      <w:lvlText w:val="%8."/>
      <w:lvlJc w:val="left"/>
      <w:pPr>
        <w:ind w:left="6913" w:hanging="360"/>
      </w:pPr>
    </w:lvl>
    <w:lvl w:ilvl="8" w:tplc="0409001B" w:tentative="1">
      <w:start w:val="1"/>
      <w:numFmt w:val="lowerRoman"/>
      <w:lvlText w:val="%9."/>
      <w:lvlJc w:val="right"/>
      <w:pPr>
        <w:ind w:left="7633" w:hanging="180"/>
      </w:pPr>
    </w:lvl>
  </w:abstractNum>
  <w:abstractNum w:abstractNumId="5" w15:restartNumberingAfterBreak="0">
    <w:nsid w:val="14105852"/>
    <w:multiLevelType w:val="hybridMultilevel"/>
    <w:tmpl w:val="AF5609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672B60"/>
    <w:multiLevelType w:val="hybridMultilevel"/>
    <w:tmpl w:val="B84A8B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DF7C17"/>
    <w:multiLevelType w:val="hybridMultilevel"/>
    <w:tmpl w:val="86A60C3E"/>
    <w:lvl w:ilvl="0" w:tplc="D0B8C03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8" w15:restartNumberingAfterBreak="0">
    <w:nsid w:val="1EEC73B6"/>
    <w:multiLevelType w:val="hybridMultilevel"/>
    <w:tmpl w:val="4E2EA9EA"/>
    <w:lvl w:ilvl="0" w:tplc="DF00B8F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7617CE5"/>
    <w:multiLevelType w:val="hybridMultilevel"/>
    <w:tmpl w:val="60CA91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7B631F"/>
    <w:multiLevelType w:val="hybridMultilevel"/>
    <w:tmpl w:val="A8101752"/>
    <w:lvl w:ilvl="0" w:tplc="89668318">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EF10D2A"/>
    <w:multiLevelType w:val="hybridMultilevel"/>
    <w:tmpl w:val="39F8607C"/>
    <w:lvl w:ilvl="0" w:tplc="00369354">
      <w:start w:val="1"/>
      <w:numFmt w:val="decimal"/>
      <w:lvlText w:val="%1."/>
      <w:lvlJc w:val="left"/>
      <w:pPr>
        <w:ind w:left="1440" w:hanging="360"/>
      </w:pPr>
      <w:rPr>
        <w:rFonts w:ascii="Hadasa Roso SL" w:eastAsia="MS Mincho" w:hAnsi="Hadasa Roso SL" w:cs="David"/>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4DD5125"/>
    <w:multiLevelType w:val="hybridMultilevel"/>
    <w:tmpl w:val="DAF45026"/>
    <w:lvl w:ilvl="0" w:tplc="DC6A4AE6">
      <w:start w:val="1"/>
      <w:numFmt w:val="hebrew1"/>
      <w:lvlText w:val="%1."/>
      <w:lvlJc w:val="left"/>
      <w:pPr>
        <w:ind w:left="1513" w:hanging="360"/>
      </w:pPr>
      <w:rPr>
        <w:rFonts w:hint="default"/>
        <w:u w:val="none"/>
      </w:rPr>
    </w:lvl>
    <w:lvl w:ilvl="1" w:tplc="04090019" w:tentative="1">
      <w:start w:val="1"/>
      <w:numFmt w:val="lowerLetter"/>
      <w:lvlText w:val="%2."/>
      <w:lvlJc w:val="left"/>
      <w:pPr>
        <w:ind w:left="2233" w:hanging="360"/>
      </w:pPr>
    </w:lvl>
    <w:lvl w:ilvl="2" w:tplc="0409001B" w:tentative="1">
      <w:start w:val="1"/>
      <w:numFmt w:val="lowerRoman"/>
      <w:lvlText w:val="%3."/>
      <w:lvlJc w:val="right"/>
      <w:pPr>
        <w:ind w:left="2953" w:hanging="180"/>
      </w:pPr>
    </w:lvl>
    <w:lvl w:ilvl="3" w:tplc="0409000F" w:tentative="1">
      <w:start w:val="1"/>
      <w:numFmt w:val="decimal"/>
      <w:lvlText w:val="%4."/>
      <w:lvlJc w:val="left"/>
      <w:pPr>
        <w:ind w:left="3673" w:hanging="360"/>
      </w:pPr>
    </w:lvl>
    <w:lvl w:ilvl="4" w:tplc="04090019" w:tentative="1">
      <w:start w:val="1"/>
      <w:numFmt w:val="lowerLetter"/>
      <w:lvlText w:val="%5."/>
      <w:lvlJc w:val="left"/>
      <w:pPr>
        <w:ind w:left="4393" w:hanging="360"/>
      </w:pPr>
    </w:lvl>
    <w:lvl w:ilvl="5" w:tplc="0409001B" w:tentative="1">
      <w:start w:val="1"/>
      <w:numFmt w:val="lowerRoman"/>
      <w:lvlText w:val="%6."/>
      <w:lvlJc w:val="right"/>
      <w:pPr>
        <w:ind w:left="5113" w:hanging="180"/>
      </w:pPr>
    </w:lvl>
    <w:lvl w:ilvl="6" w:tplc="0409000F" w:tentative="1">
      <w:start w:val="1"/>
      <w:numFmt w:val="decimal"/>
      <w:lvlText w:val="%7."/>
      <w:lvlJc w:val="left"/>
      <w:pPr>
        <w:ind w:left="5833" w:hanging="360"/>
      </w:pPr>
    </w:lvl>
    <w:lvl w:ilvl="7" w:tplc="04090019" w:tentative="1">
      <w:start w:val="1"/>
      <w:numFmt w:val="lowerLetter"/>
      <w:lvlText w:val="%8."/>
      <w:lvlJc w:val="left"/>
      <w:pPr>
        <w:ind w:left="6553" w:hanging="360"/>
      </w:pPr>
    </w:lvl>
    <w:lvl w:ilvl="8" w:tplc="0409001B" w:tentative="1">
      <w:start w:val="1"/>
      <w:numFmt w:val="lowerRoman"/>
      <w:lvlText w:val="%9."/>
      <w:lvlJc w:val="right"/>
      <w:pPr>
        <w:ind w:left="7273" w:hanging="180"/>
      </w:pPr>
    </w:lvl>
  </w:abstractNum>
  <w:abstractNum w:abstractNumId="13" w15:restartNumberingAfterBreak="0">
    <w:nsid w:val="457E46E9"/>
    <w:multiLevelType w:val="hybridMultilevel"/>
    <w:tmpl w:val="C032B1E0"/>
    <w:lvl w:ilvl="0" w:tplc="6832CB50">
      <w:start w:val="1"/>
      <w:numFmt w:val="decimal"/>
      <w:lvlText w:val="%1."/>
      <w:lvlJc w:val="left"/>
      <w:pPr>
        <w:ind w:left="1873" w:hanging="360"/>
      </w:pPr>
      <w:rPr>
        <w:rFonts w:hint="default"/>
        <w:u w:val="none"/>
      </w:rPr>
    </w:lvl>
    <w:lvl w:ilvl="1" w:tplc="04090019" w:tentative="1">
      <w:start w:val="1"/>
      <w:numFmt w:val="lowerLetter"/>
      <w:lvlText w:val="%2."/>
      <w:lvlJc w:val="left"/>
      <w:pPr>
        <w:ind w:left="2593" w:hanging="360"/>
      </w:pPr>
    </w:lvl>
    <w:lvl w:ilvl="2" w:tplc="0409001B" w:tentative="1">
      <w:start w:val="1"/>
      <w:numFmt w:val="lowerRoman"/>
      <w:lvlText w:val="%3."/>
      <w:lvlJc w:val="right"/>
      <w:pPr>
        <w:ind w:left="3313" w:hanging="180"/>
      </w:pPr>
    </w:lvl>
    <w:lvl w:ilvl="3" w:tplc="0409000F" w:tentative="1">
      <w:start w:val="1"/>
      <w:numFmt w:val="decimal"/>
      <w:lvlText w:val="%4."/>
      <w:lvlJc w:val="left"/>
      <w:pPr>
        <w:ind w:left="4033" w:hanging="360"/>
      </w:pPr>
    </w:lvl>
    <w:lvl w:ilvl="4" w:tplc="04090019" w:tentative="1">
      <w:start w:val="1"/>
      <w:numFmt w:val="lowerLetter"/>
      <w:lvlText w:val="%5."/>
      <w:lvlJc w:val="left"/>
      <w:pPr>
        <w:ind w:left="4753" w:hanging="360"/>
      </w:pPr>
    </w:lvl>
    <w:lvl w:ilvl="5" w:tplc="0409001B" w:tentative="1">
      <w:start w:val="1"/>
      <w:numFmt w:val="lowerRoman"/>
      <w:lvlText w:val="%6."/>
      <w:lvlJc w:val="right"/>
      <w:pPr>
        <w:ind w:left="5473" w:hanging="180"/>
      </w:pPr>
    </w:lvl>
    <w:lvl w:ilvl="6" w:tplc="0409000F" w:tentative="1">
      <w:start w:val="1"/>
      <w:numFmt w:val="decimal"/>
      <w:lvlText w:val="%7."/>
      <w:lvlJc w:val="left"/>
      <w:pPr>
        <w:ind w:left="6193" w:hanging="360"/>
      </w:pPr>
    </w:lvl>
    <w:lvl w:ilvl="7" w:tplc="04090019" w:tentative="1">
      <w:start w:val="1"/>
      <w:numFmt w:val="lowerLetter"/>
      <w:lvlText w:val="%8."/>
      <w:lvlJc w:val="left"/>
      <w:pPr>
        <w:ind w:left="6913" w:hanging="360"/>
      </w:pPr>
    </w:lvl>
    <w:lvl w:ilvl="8" w:tplc="0409001B" w:tentative="1">
      <w:start w:val="1"/>
      <w:numFmt w:val="lowerRoman"/>
      <w:lvlText w:val="%9."/>
      <w:lvlJc w:val="right"/>
      <w:pPr>
        <w:ind w:left="7633" w:hanging="180"/>
      </w:pPr>
    </w:lvl>
  </w:abstractNum>
  <w:abstractNum w:abstractNumId="14" w15:restartNumberingAfterBreak="0">
    <w:nsid w:val="459D6E27"/>
    <w:multiLevelType w:val="hybridMultilevel"/>
    <w:tmpl w:val="BD9CB7AA"/>
    <w:lvl w:ilvl="0" w:tplc="1584EBB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5C31BC1"/>
    <w:multiLevelType w:val="hybridMultilevel"/>
    <w:tmpl w:val="B510AFDC"/>
    <w:lvl w:ilvl="0" w:tplc="C7EC638E">
      <w:start w:val="1"/>
      <w:numFmt w:val="decimal"/>
      <w:lvlText w:val="%1."/>
      <w:lvlJc w:val="left"/>
      <w:pPr>
        <w:ind w:left="1153" w:hanging="360"/>
      </w:pPr>
      <w:rPr>
        <w:rFonts w:hint="default"/>
      </w:rPr>
    </w:lvl>
    <w:lvl w:ilvl="1" w:tplc="04090019" w:tentative="1">
      <w:start w:val="1"/>
      <w:numFmt w:val="lowerLetter"/>
      <w:lvlText w:val="%2."/>
      <w:lvlJc w:val="left"/>
      <w:pPr>
        <w:ind w:left="1873" w:hanging="360"/>
      </w:pPr>
    </w:lvl>
    <w:lvl w:ilvl="2" w:tplc="0409001B" w:tentative="1">
      <w:start w:val="1"/>
      <w:numFmt w:val="lowerRoman"/>
      <w:lvlText w:val="%3."/>
      <w:lvlJc w:val="right"/>
      <w:pPr>
        <w:ind w:left="2593" w:hanging="180"/>
      </w:pPr>
    </w:lvl>
    <w:lvl w:ilvl="3" w:tplc="0409000F" w:tentative="1">
      <w:start w:val="1"/>
      <w:numFmt w:val="decimal"/>
      <w:lvlText w:val="%4."/>
      <w:lvlJc w:val="left"/>
      <w:pPr>
        <w:ind w:left="3313" w:hanging="360"/>
      </w:pPr>
    </w:lvl>
    <w:lvl w:ilvl="4" w:tplc="04090019" w:tentative="1">
      <w:start w:val="1"/>
      <w:numFmt w:val="lowerLetter"/>
      <w:lvlText w:val="%5."/>
      <w:lvlJc w:val="left"/>
      <w:pPr>
        <w:ind w:left="4033" w:hanging="360"/>
      </w:pPr>
    </w:lvl>
    <w:lvl w:ilvl="5" w:tplc="0409001B" w:tentative="1">
      <w:start w:val="1"/>
      <w:numFmt w:val="lowerRoman"/>
      <w:lvlText w:val="%6."/>
      <w:lvlJc w:val="right"/>
      <w:pPr>
        <w:ind w:left="4753" w:hanging="180"/>
      </w:pPr>
    </w:lvl>
    <w:lvl w:ilvl="6" w:tplc="0409000F" w:tentative="1">
      <w:start w:val="1"/>
      <w:numFmt w:val="decimal"/>
      <w:lvlText w:val="%7."/>
      <w:lvlJc w:val="left"/>
      <w:pPr>
        <w:ind w:left="5473" w:hanging="360"/>
      </w:pPr>
    </w:lvl>
    <w:lvl w:ilvl="7" w:tplc="04090019" w:tentative="1">
      <w:start w:val="1"/>
      <w:numFmt w:val="lowerLetter"/>
      <w:lvlText w:val="%8."/>
      <w:lvlJc w:val="left"/>
      <w:pPr>
        <w:ind w:left="6193" w:hanging="360"/>
      </w:pPr>
    </w:lvl>
    <w:lvl w:ilvl="8" w:tplc="0409001B" w:tentative="1">
      <w:start w:val="1"/>
      <w:numFmt w:val="lowerRoman"/>
      <w:lvlText w:val="%9."/>
      <w:lvlJc w:val="right"/>
      <w:pPr>
        <w:ind w:left="6913" w:hanging="180"/>
      </w:pPr>
    </w:lvl>
  </w:abstractNum>
  <w:abstractNum w:abstractNumId="16" w15:restartNumberingAfterBreak="0">
    <w:nsid w:val="4C243341"/>
    <w:multiLevelType w:val="hybridMultilevel"/>
    <w:tmpl w:val="B2760B26"/>
    <w:lvl w:ilvl="0" w:tplc="73A29E2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1AD30E9"/>
    <w:multiLevelType w:val="hybridMultilevel"/>
    <w:tmpl w:val="86A60C3E"/>
    <w:lvl w:ilvl="0" w:tplc="D0B8C03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8" w15:restartNumberingAfterBreak="0">
    <w:nsid w:val="52776975"/>
    <w:multiLevelType w:val="hybridMultilevel"/>
    <w:tmpl w:val="F8D0FA0C"/>
    <w:lvl w:ilvl="0" w:tplc="EB3877DE">
      <w:start w:val="1"/>
      <w:numFmt w:val="hebrew1"/>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57D7231"/>
    <w:multiLevelType w:val="hybridMultilevel"/>
    <w:tmpl w:val="D0FE23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9D0627"/>
    <w:multiLevelType w:val="hybridMultilevel"/>
    <w:tmpl w:val="A564A0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8CA0BC7"/>
    <w:multiLevelType w:val="hybridMultilevel"/>
    <w:tmpl w:val="E7F66B90"/>
    <w:lvl w:ilvl="0" w:tplc="79B0B832">
      <w:start w:val="1"/>
      <w:numFmt w:val="hebrew1"/>
      <w:lvlText w:val="%1."/>
      <w:lvlJc w:val="left"/>
      <w:pPr>
        <w:ind w:left="1513" w:hanging="360"/>
      </w:pPr>
      <w:rPr>
        <w:rFonts w:hint="default"/>
        <w:b/>
        <w:sz w:val="24"/>
      </w:rPr>
    </w:lvl>
    <w:lvl w:ilvl="1" w:tplc="04090019" w:tentative="1">
      <w:start w:val="1"/>
      <w:numFmt w:val="lowerLetter"/>
      <w:lvlText w:val="%2."/>
      <w:lvlJc w:val="left"/>
      <w:pPr>
        <w:ind w:left="2233" w:hanging="360"/>
      </w:pPr>
    </w:lvl>
    <w:lvl w:ilvl="2" w:tplc="0409001B" w:tentative="1">
      <w:start w:val="1"/>
      <w:numFmt w:val="lowerRoman"/>
      <w:lvlText w:val="%3."/>
      <w:lvlJc w:val="right"/>
      <w:pPr>
        <w:ind w:left="2953" w:hanging="180"/>
      </w:pPr>
    </w:lvl>
    <w:lvl w:ilvl="3" w:tplc="0409000F" w:tentative="1">
      <w:start w:val="1"/>
      <w:numFmt w:val="decimal"/>
      <w:lvlText w:val="%4."/>
      <w:lvlJc w:val="left"/>
      <w:pPr>
        <w:ind w:left="3673" w:hanging="360"/>
      </w:pPr>
    </w:lvl>
    <w:lvl w:ilvl="4" w:tplc="04090019" w:tentative="1">
      <w:start w:val="1"/>
      <w:numFmt w:val="lowerLetter"/>
      <w:lvlText w:val="%5."/>
      <w:lvlJc w:val="left"/>
      <w:pPr>
        <w:ind w:left="4393" w:hanging="360"/>
      </w:pPr>
    </w:lvl>
    <w:lvl w:ilvl="5" w:tplc="0409001B" w:tentative="1">
      <w:start w:val="1"/>
      <w:numFmt w:val="lowerRoman"/>
      <w:lvlText w:val="%6."/>
      <w:lvlJc w:val="right"/>
      <w:pPr>
        <w:ind w:left="5113" w:hanging="180"/>
      </w:pPr>
    </w:lvl>
    <w:lvl w:ilvl="6" w:tplc="0409000F" w:tentative="1">
      <w:start w:val="1"/>
      <w:numFmt w:val="decimal"/>
      <w:lvlText w:val="%7."/>
      <w:lvlJc w:val="left"/>
      <w:pPr>
        <w:ind w:left="5833" w:hanging="360"/>
      </w:pPr>
    </w:lvl>
    <w:lvl w:ilvl="7" w:tplc="04090019" w:tentative="1">
      <w:start w:val="1"/>
      <w:numFmt w:val="lowerLetter"/>
      <w:lvlText w:val="%8."/>
      <w:lvlJc w:val="left"/>
      <w:pPr>
        <w:ind w:left="6553" w:hanging="360"/>
      </w:pPr>
    </w:lvl>
    <w:lvl w:ilvl="8" w:tplc="0409001B" w:tentative="1">
      <w:start w:val="1"/>
      <w:numFmt w:val="lowerRoman"/>
      <w:lvlText w:val="%9."/>
      <w:lvlJc w:val="right"/>
      <w:pPr>
        <w:ind w:left="7273" w:hanging="180"/>
      </w:pPr>
    </w:lvl>
  </w:abstractNum>
  <w:abstractNum w:abstractNumId="22" w15:restartNumberingAfterBreak="0">
    <w:nsid w:val="5B187510"/>
    <w:multiLevelType w:val="hybridMultilevel"/>
    <w:tmpl w:val="28661B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411A85"/>
    <w:multiLevelType w:val="hybridMultilevel"/>
    <w:tmpl w:val="3C6A209C"/>
    <w:lvl w:ilvl="0" w:tplc="24400872">
      <w:start w:val="4"/>
      <w:numFmt w:val="bullet"/>
      <w:lvlText w:val="-"/>
      <w:lvlJc w:val="left"/>
      <w:pPr>
        <w:ind w:left="1080" w:hanging="360"/>
      </w:pPr>
      <w:rPr>
        <w:rFonts w:ascii="Hadasa Roso SL" w:eastAsia="MS Mincho" w:hAnsi="Hadasa Roso SL"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67783170"/>
    <w:multiLevelType w:val="hybridMultilevel"/>
    <w:tmpl w:val="CC86CE82"/>
    <w:lvl w:ilvl="0" w:tplc="104C8B0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84F5D0A"/>
    <w:multiLevelType w:val="hybridMultilevel"/>
    <w:tmpl w:val="FAB80DE0"/>
    <w:lvl w:ilvl="0" w:tplc="F3DE484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C8608A"/>
    <w:multiLevelType w:val="hybridMultilevel"/>
    <w:tmpl w:val="4DC4C5F0"/>
    <w:lvl w:ilvl="0" w:tplc="EF20516E">
      <w:start w:val="1"/>
      <w:numFmt w:val="hebrew1"/>
      <w:lvlText w:val="%1."/>
      <w:lvlJc w:val="left"/>
      <w:pPr>
        <w:ind w:left="1873" w:hanging="360"/>
      </w:pPr>
      <w:rPr>
        <w:rFonts w:hint="default"/>
        <w:sz w:val="24"/>
      </w:rPr>
    </w:lvl>
    <w:lvl w:ilvl="1" w:tplc="04090019" w:tentative="1">
      <w:start w:val="1"/>
      <w:numFmt w:val="lowerLetter"/>
      <w:lvlText w:val="%2."/>
      <w:lvlJc w:val="left"/>
      <w:pPr>
        <w:ind w:left="2593" w:hanging="360"/>
      </w:pPr>
    </w:lvl>
    <w:lvl w:ilvl="2" w:tplc="0409001B" w:tentative="1">
      <w:start w:val="1"/>
      <w:numFmt w:val="lowerRoman"/>
      <w:lvlText w:val="%3."/>
      <w:lvlJc w:val="right"/>
      <w:pPr>
        <w:ind w:left="3313" w:hanging="180"/>
      </w:pPr>
    </w:lvl>
    <w:lvl w:ilvl="3" w:tplc="0409000F" w:tentative="1">
      <w:start w:val="1"/>
      <w:numFmt w:val="decimal"/>
      <w:lvlText w:val="%4."/>
      <w:lvlJc w:val="left"/>
      <w:pPr>
        <w:ind w:left="4033" w:hanging="360"/>
      </w:pPr>
    </w:lvl>
    <w:lvl w:ilvl="4" w:tplc="04090019" w:tentative="1">
      <w:start w:val="1"/>
      <w:numFmt w:val="lowerLetter"/>
      <w:lvlText w:val="%5."/>
      <w:lvlJc w:val="left"/>
      <w:pPr>
        <w:ind w:left="4753" w:hanging="360"/>
      </w:pPr>
    </w:lvl>
    <w:lvl w:ilvl="5" w:tplc="0409001B" w:tentative="1">
      <w:start w:val="1"/>
      <w:numFmt w:val="lowerRoman"/>
      <w:lvlText w:val="%6."/>
      <w:lvlJc w:val="right"/>
      <w:pPr>
        <w:ind w:left="5473" w:hanging="180"/>
      </w:pPr>
    </w:lvl>
    <w:lvl w:ilvl="6" w:tplc="0409000F" w:tentative="1">
      <w:start w:val="1"/>
      <w:numFmt w:val="decimal"/>
      <w:lvlText w:val="%7."/>
      <w:lvlJc w:val="left"/>
      <w:pPr>
        <w:ind w:left="6193" w:hanging="360"/>
      </w:pPr>
    </w:lvl>
    <w:lvl w:ilvl="7" w:tplc="04090019" w:tentative="1">
      <w:start w:val="1"/>
      <w:numFmt w:val="lowerLetter"/>
      <w:lvlText w:val="%8."/>
      <w:lvlJc w:val="left"/>
      <w:pPr>
        <w:ind w:left="6913" w:hanging="360"/>
      </w:pPr>
    </w:lvl>
    <w:lvl w:ilvl="8" w:tplc="0409001B" w:tentative="1">
      <w:start w:val="1"/>
      <w:numFmt w:val="lowerRoman"/>
      <w:lvlText w:val="%9."/>
      <w:lvlJc w:val="right"/>
      <w:pPr>
        <w:ind w:left="7633" w:hanging="180"/>
      </w:pPr>
    </w:lvl>
  </w:abstractNum>
  <w:abstractNum w:abstractNumId="27" w15:restartNumberingAfterBreak="0">
    <w:nsid w:val="6E754B3F"/>
    <w:multiLevelType w:val="hybridMultilevel"/>
    <w:tmpl w:val="74B85AF8"/>
    <w:lvl w:ilvl="0" w:tplc="3B7C9344">
      <w:start w:val="1"/>
      <w:numFmt w:val="hebrew1"/>
      <w:lvlText w:val="%1."/>
      <w:lvlJc w:val="left"/>
      <w:pPr>
        <w:ind w:left="1080" w:hanging="360"/>
      </w:pPr>
      <w:rPr>
        <w:rFonts w:ascii="Hadasa Roso SL" w:eastAsia="MS Mincho" w:hAnsi="Hadasa Roso SL" w:cs="David"/>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2015B2A"/>
    <w:multiLevelType w:val="hybridMultilevel"/>
    <w:tmpl w:val="A7BA2C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3C93858"/>
    <w:multiLevelType w:val="hybridMultilevel"/>
    <w:tmpl w:val="9DF2E666"/>
    <w:lvl w:ilvl="0" w:tplc="873A633E">
      <w:start w:val="1"/>
      <w:numFmt w:val="hebrew1"/>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30" w15:restartNumberingAfterBreak="0">
    <w:nsid w:val="7C407A1D"/>
    <w:multiLevelType w:val="hybridMultilevel"/>
    <w:tmpl w:val="9790E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F065322"/>
    <w:multiLevelType w:val="hybridMultilevel"/>
    <w:tmpl w:val="DD405CD4"/>
    <w:lvl w:ilvl="0" w:tplc="72104224">
      <w:start w:val="1"/>
      <w:numFmt w:val="hebrew1"/>
      <w:lvlText w:val="%1."/>
      <w:lvlJc w:val="left"/>
      <w:pPr>
        <w:ind w:left="1513" w:hanging="360"/>
      </w:pPr>
      <w:rPr>
        <w:rFonts w:hint="default"/>
        <w:u w:val="none"/>
      </w:rPr>
    </w:lvl>
    <w:lvl w:ilvl="1" w:tplc="04090019" w:tentative="1">
      <w:start w:val="1"/>
      <w:numFmt w:val="lowerLetter"/>
      <w:lvlText w:val="%2."/>
      <w:lvlJc w:val="left"/>
      <w:pPr>
        <w:ind w:left="2233" w:hanging="360"/>
      </w:pPr>
    </w:lvl>
    <w:lvl w:ilvl="2" w:tplc="0409001B" w:tentative="1">
      <w:start w:val="1"/>
      <w:numFmt w:val="lowerRoman"/>
      <w:lvlText w:val="%3."/>
      <w:lvlJc w:val="right"/>
      <w:pPr>
        <w:ind w:left="2953" w:hanging="180"/>
      </w:pPr>
    </w:lvl>
    <w:lvl w:ilvl="3" w:tplc="0409000F" w:tentative="1">
      <w:start w:val="1"/>
      <w:numFmt w:val="decimal"/>
      <w:lvlText w:val="%4."/>
      <w:lvlJc w:val="left"/>
      <w:pPr>
        <w:ind w:left="3673" w:hanging="360"/>
      </w:pPr>
    </w:lvl>
    <w:lvl w:ilvl="4" w:tplc="04090019" w:tentative="1">
      <w:start w:val="1"/>
      <w:numFmt w:val="lowerLetter"/>
      <w:lvlText w:val="%5."/>
      <w:lvlJc w:val="left"/>
      <w:pPr>
        <w:ind w:left="4393" w:hanging="360"/>
      </w:pPr>
    </w:lvl>
    <w:lvl w:ilvl="5" w:tplc="0409001B" w:tentative="1">
      <w:start w:val="1"/>
      <w:numFmt w:val="lowerRoman"/>
      <w:lvlText w:val="%6."/>
      <w:lvlJc w:val="right"/>
      <w:pPr>
        <w:ind w:left="5113" w:hanging="180"/>
      </w:pPr>
    </w:lvl>
    <w:lvl w:ilvl="6" w:tplc="0409000F" w:tentative="1">
      <w:start w:val="1"/>
      <w:numFmt w:val="decimal"/>
      <w:lvlText w:val="%7."/>
      <w:lvlJc w:val="left"/>
      <w:pPr>
        <w:ind w:left="5833" w:hanging="360"/>
      </w:pPr>
    </w:lvl>
    <w:lvl w:ilvl="7" w:tplc="04090019" w:tentative="1">
      <w:start w:val="1"/>
      <w:numFmt w:val="lowerLetter"/>
      <w:lvlText w:val="%8."/>
      <w:lvlJc w:val="left"/>
      <w:pPr>
        <w:ind w:left="6553" w:hanging="360"/>
      </w:pPr>
    </w:lvl>
    <w:lvl w:ilvl="8" w:tplc="0409001B" w:tentative="1">
      <w:start w:val="1"/>
      <w:numFmt w:val="lowerRoman"/>
      <w:lvlText w:val="%9."/>
      <w:lvlJc w:val="right"/>
      <w:pPr>
        <w:ind w:left="7273" w:hanging="180"/>
      </w:pPr>
    </w:lvl>
  </w:abstractNum>
  <w:num w:numId="1">
    <w:abstractNumId w:val="9"/>
  </w:num>
  <w:num w:numId="2">
    <w:abstractNumId w:val="30"/>
  </w:num>
  <w:num w:numId="3">
    <w:abstractNumId w:val="2"/>
  </w:num>
  <w:num w:numId="4">
    <w:abstractNumId w:val="5"/>
  </w:num>
  <w:num w:numId="5">
    <w:abstractNumId w:val="19"/>
  </w:num>
  <w:num w:numId="6">
    <w:abstractNumId w:val="27"/>
  </w:num>
  <w:num w:numId="7">
    <w:abstractNumId w:val="20"/>
  </w:num>
  <w:num w:numId="8">
    <w:abstractNumId w:val="0"/>
  </w:num>
  <w:num w:numId="9">
    <w:abstractNumId w:val="6"/>
  </w:num>
  <w:num w:numId="10">
    <w:abstractNumId w:val="3"/>
  </w:num>
  <w:num w:numId="11">
    <w:abstractNumId w:val="24"/>
  </w:num>
  <w:num w:numId="12">
    <w:abstractNumId w:val="1"/>
  </w:num>
  <w:num w:numId="13">
    <w:abstractNumId w:val="18"/>
  </w:num>
  <w:num w:numId="14">
    <w:abstractNumId w:val="7"/>
  </w:num>
  <w:num w:numId="15">
    <w:abstractNumId w:val="29"/>
  </w:num>
  <w:num w:numId="16">
    <w:abstractNumId w:val="15"/>
  </w:num>
  <w:num w:numId="17">
    <w:abstractNumId w:val="31"/>
  </w:num>
  <w:num w:numId="18">
    <w:abstractNumId w:val="12"/>
  </w:num>
  <w:num w:numId="19">
    <w:abstractNumId w:val="13"/>
  </w:num>
  <w:num w:numId="20">
    <w:abstractNumId w:val="4"/>
  </w:num>
  <w:num w:numId="21">
    <w:abstractNumId w:val="21"/>
  </w:num>
  <w:num w:numId="22">
    <w:abstractNumId w:val="25"/>
  </w:num>
  <w:num w:numId="23">
    <w:abstractNumId w:val="28"/>
  </w:num>
  <w:num w:numId="24">
    <w:abstractNumId w:val="23"/>
  </w:num>
  <w:num w:numId="25">
    <w:abstractNumId w:val="22"/>
  </w:num>
  <w:num w:numId="26">
    <w:abstractNumId w:val="8"/>
  </w:num>
  <w:num w:numId="27">
    <w:abstractNumId w:val="10"/>
  </w:num>
  <w:num w:numId="28">
    <w:abstractNumId w:val="14"/>
  </w:num>
  <w:num w:numId="29">
    <w:abstractNumId w:val="11"/>
  </w:num>
  <w:num w:numId="30">
    <w:abstractNumId w:val="16"/>
  </w:num>
  <w:num w:numId="31">
    <w:abstractNumId w:val="26"/>
  </w:num>
  <w:num w:numId="32">
    <w:abstractNumId w:val="17"/>
  </w:num>
  <w:numIdMacAtCleanup w:val="2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תמי סלע">
    <w15:presenceInfo w15:providerId="AD" w15:userId="S-1-5-21-390607825-919564285-270368766-29140"/>
  </w15:person>
  <w15:person w15:author="גור בליי">
    <w15:presenceInfo w15:providerId="AD" w15:userId="S-1-5-21-390607825-919564285-270368766-1351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71C"/>
    <w:rsid w:val="00000717"/>
    <w:rsid w:val="0000454C"/>
    <w:rsid w:val="00006B8E"/>
    <w:rsid w:val="0001009B"/>
    <w:rsid w:val="00011102"/>
    <w:rsid w:val="00016397"/>
    <w:rsid w:val="00021A13"/>
    <w:rsid w:val="00032AE3"/>
    <w:rsid w:val="00034E8E"/>
    <w:rsid w:val="000402C7"/>
    <w:rsid w:val="00040789"/>
    <w:rsid w:val="00044A9A"/>
    <w:rsid w:val="00046E6B"/>
    <w:rsid w:val="00047143"/>
    <w:rsid w:val="00050E83"/>
    <w:rsid w:val="000603CF"/>
    <w:rsid w:val="00064915"/>
    <w:rsid w:val="000649D5"/>
    <w:rsid w:val="00065809"/>
    <w:rsid w:val="000706D0"/>
    <w:rsid w:val="00073A6F"/>
    <w:rsid w:val="00074B11"/>
    <w:rsid w:val="000809A6"/>
    <w:rsid w:val="000965EC"/>
    <w:rsid w:val="000970F5"/>
    <w:rsid w:val="000B1020"/>
    <w:rsid w:val="000B59C7"/>
    <w:rsid w:val="000B7009"/>
    <w:rsid w:val="000C0D03"/>
    <w:rsid w:val="000C6A85"/>
    <w:rsid w:val="000D0EFB"/>
    <w:rsid w:val="000D2B47"/>
    <w:rsid w:val="000D317F"/>
    <w:rsid w:val="000D4414"/>
    <w:rsid w:val="000D5B01"/>
    <w:rsid w:val="000E0540"/>
    <w:rsid w:val="000E2513"/>
    <w:rsid w:val="000E57FC"/>
    <w:rsid w:val="000F16A3"/>
    <w:rsid w:val="000F171A"/>
    <w:rsid w:val="000F45DD"/>
    <w:rsid w:val="00115441"/>
    <w:rsid w:val="001162D1"/>
    <w:rsid w:val="0012125A"/>
    <w:rsid w:val="00127871"/>
    <w:rsid w:val="0013209A"/>
    <w:rsid w:val="0014224A"/>
    <w:rsid w:val="00145BB4"/>
    <w:rsid w:val="0015139B"/>
    <w:rsid w:val="00152F43"/>
    <w:rsid w:val="00162B11"/>
    <w:rsid w:val="00162D00"/>
    <w:rsid w:val="001670F8"/>
    <w:rsid w:val="00167731"/>
    <w:rsid w:val="001679C5"/>
    <w:rsid w:val="001703BB"/>
    <w:rsid w:val="001713F6"/>
    <w:rsid w:val="0017725C"/>
    <w:rsid w:val="00183D3A"/>
    <w:rsid w:val="00184538"/>
    <w:rsid w:val="001849DA"/>
    <w:rsid w:val="00191257"/>
    <w:rsid w:val="0019268D"/>
    <w:rsid w:val="001A1A15"/>
    <w:rsid w:val="001C1689"/>
    <w:rsid w:val="001C4253"/>
    <w:rsid w:val="001C56A4"/>
    <w:rsid w:val="001D421B"/>
    <w:rsid w:val="001D6FF6"/>
    <w:rsid w:val="00200443"/>
    <w:rsid w:val="00211412"/>
    <w:rsid w:val="00223F33"/>
    <w:rsid w:val="00227959"/>
    <w:rsid w:val="002309D7"/>
    <w:rsid w:val="00242180"/>
    <w:rsid w:val="00252408"/>
    <w:rsid w:val="00252C89"/>
    <w:rsid w:val="00253487"/>
    <w:rsid w:val="00261D8E"/>
    <w:rsid w:val="00264539"/>
    <w:rsid w:val="0027256D"/>
    <w:rsid w:val="00272B38"/>
    <w:rsid w:val="00285CA9"/>
    <w:rsid w:val="00287689"/>
    <w:rsid w:val="00287CA2"/>
    <w:rsid w:val="00295ECF"/>
    <w:rsid w:val="002A4B4B"/>
    <w:rsid w:val="002A6888"/>
    <w:rsid w:val="002B5806"/>
    <w:rsid w:val="002B7063"/>
    <w:rsid w:val="002C4BED"/>
    <w:rsid w:val="002D6E6C"/>
    <w:rsid w:val="002E02CD"/>
    <w:rsid w:val="002E1C38"/>
    <w:rsid w:val="002E521E"/>
    <w:rsid w:val="002E56C5"/>
    <w:rsid w:val="002E5AC0"/>
    <w:rsid w:val="002F1158"/>
    <w:rsid w:val="002F24FD"/>
    <w:rsid w:val="002F36C5"/>
    <w:rsid w:val="002F4189"/>
    <w:rsid w:val="002F459F"/>
    <w:rsid w:val="00301534"/>
    <w:rsid w:val="00306C6E"/>
    <w:rsid w:val="00306E1E"/>
    <w:rsid w:val="0031456F"/>
    <w:rsid w:val="00320AEF"/>
    <w:rsid w:val="003217D1"/>
    <w:rsid w:val="00321960"/>
    <w:rsid w:val="00326F54"/>
    <w:rsid w:val="0033236F"/>
    <w:rsid w:val="00345F03"/>
    <w:rsid w:val="00346254"/>
    <w:rsid w:val="00354F9A"/>
    <w:rsid w:val="00360635"/>
    <w:rsid w:val="00363B06"/>
    <w:rsid w:val="00380DFF"/>
    <w:rsid w:val="003838E2"/>
    <w:rsid w:val="003862A5"/>
    <w:rsid w:val="00393F94"/>
    <w:rsid w:val="003969B1"/>
    <w:rsid w:val="003A01CE"/>
    <w:rsid w:val="003A1E26"/>
    <w:rsid w:val="003B1D1C"/>
    <w:rsid w:val="003B3A12"/>
    <w:rsid w:val="003B6696"/>
    <w:rsid w:val="003B78A3"/>
    <w:rsid w:val="003C1922"/>
    <w:rsid w:val="003C1A3A"/>
    <w:rsid w:val="003C2AEE"/>
    <w:rsid w:val="003C5F0B"/>
    <w:rsid w:val="003D222B"/>
    <w:rsid w:val="003E071C"/>
    <w:rsid w:val="003E11A0"/>
    <w:rsid w:val="003E1CCC"/>
    <w:rsid w:val="003E3293"/>
    <w:rsid w:val="003F0E4A"/>
    <w:rsid w:val="00400948"/>
    <w:rsid w:val="00402B5A"/>
    <w:rsid w:val="004037C9"/>
    <w:rsid w:val="00404A4D"/>
    <w:rsid w:val="00412D16"/>
    <w:rsid w:val="00415AA0"/>
    <w:rsid w:val="00421485"/>
    <w:rsid w:val="004243F4"/>
    <w:rsid w:val="0043005B"/>
    <w:rsid w:val="00440A29"/>
    <w:rsid w:val="00440F66"/>
    <w:rsid w:val="00444C9D"/>
    <w:rsid w:val="00445151"/>
    <w:rsid w:val="00447C00"/>
    <w:rsid w:val="00451ED2"/>
    <w:rsid w:val="00455241"/>
    <w:rsid w:val="00460512"/>
    <w:rsid w:val="00462016"/>
    <w:rsid w:val="00466459"/>
    <w:rsid w:val="00466D2D"/>
    <w:rsid w:val="00466FB6"/>
    <w:rsid w:val="00472881"/>
    <w:rsid w:val="004737C5"/>
    <w:rsid w:val="00476694"/>
    <w:rsid w:val="00482EFC"/>
    <w:rsid w:val="00483FC7"/>
    <w:rsid w:val="004842D9"/>
    <w:rsid w:val="00496CC6"/>
    <w:rsid w:val="004A28AB"/>
    <w:rsid w:val="004A2AA8"/>
    <w:rsid w:val="004B002D"/>
    <w:rsid w:val="004B7234"/>
    <w:rsid w:val="004B7563"/>
    <w:rsid w:val="004C7109"/>
    <w:rsid w:val="004D1B77"/>
    <w:rsid w:val="004E4986"/>
    <w:rsid w:val="00504B3E"/>
    <w:rsid w:val="005073FD"/>
    <w:rsid w:val="00510B3B"/>
    <w:rsid w:val="00511852"/>
    <w:rsid w:val="0051261C"/>
    <w:rsid w:val="00515F22"/>
    <w:rsid w:val="00531C81"/>
    <w:rsid w:val="005339C4"/>
    <w:rsid w:val="00534899"/>
    <w:rsid w:val="005353B3"/>
    <w:rsid w:val="00535DAA"/>
    <w:rsid w:val="00557A0C"/>
    <w:rsid w:val="00561396"/>
    <w:rsid w:val="00570B39"/>
    <w:rsid w:val="005727A4"/>
    <w:rsid w:val="00576D5F"/>
    <w:rsid w:val="00582068"/>
    <w:rsid w:val="00582CC6"/>
    <w:rsid w:val="00584BA0"/>
    <w:rsid w:val="005870F8"/>
    <w:rsid w:val="005901AE"/>
    <w:rsid w:val="00590692"/>
    <w:rsid w:val="00593D52"/>
    <w:rsid w:val="005A322F"/>
    <w:rsid w:val="005A7A18"/>
    <w:rsid w:val="005B34DF"/>
    <w:rsid w:val="005B40F2"/>
    <w:rsid w:val="005C284A"/>
    <w:rsid w:val="005C38E3"/>
    <w:rsid w:val="005E3D41"/>
    <w:rsid w:val="005F0B54"/>
    <w:rsid w:val="005F7D85"/>
    <w:rsid w:val="006022D3"/>
    <w:rsid w:val="00610B4B"/>
    <w:rsid w:val="00610D2D"/>
    <w:rsid w:val="00616691"/>
    <w:rsid w:val="006209E3"/>
    <w:rsid w:val="00623CCD"/>
    <w:rsid w:val="006245FF"/>
    <w:rsid w:val="006248BD"/>
    <w:rsid w:val="00624D54"/>
    <w:rsid w:val="00632168"/>
    <w:rsid w:val="00634439"/>
    <w:rsid w:val="006374C1"/>
    <w:rsid w:val="00642449"/>
    <w:rsid w:val="006437B0"/>
    <w:rsid w:val="00643C6B"/>
    <w:rsid w:val="006454D8"/>
    <w:rsid w:val="00646932"/>
    <w:rsid w:val="00657083"/>
    <w:rsid w:val="00657A48"/>
    <w:rsid w:val="00667793"/>
    <w:rsid w:val="006774BF"/>
    <w:rsid w:val="00677C16"/>
    <w:rsid w:val="00680A93"/>
    <w:rsid w:val="00683BAD"/>
    <w:rsid w:val="0068479D"/>
    <w:rsid w:val="006916CD"/>
    <w:rsid w:val="006965F0"/>
    <w:rsid w:val="006A29CC"/>
    <w:rsid w:val="006A5191"/>
    <w:rsid w:val="006A5209"/>
    <w:rsid w:val="006A553A"/>
    <w:rsid w:val="006A702C"/>
    <w:rsid w:val="006B3105"/>
    <w:rsid w:val="006B6ED0"/>
    <w:rsid w:val="006C10B5"/>
    <w:rsid w:val="006D2BD9"/>
    <w:rsid w:val="006D5750"/>
    <w:rsid w:val="006E4494"/>
    <w:rsid w:val="006E6BAC"/>
    <w:rsid w:val="006E7883"/>
    <w:rsid w:val="006F0DA4"/>
    <w:rsid w:val="006F20CF"/>
    <w:rsid w:val="006F4E26"/>
    <w:rsid w:val="00700CDA"/>
    <w:rsid w:val="00704D3C"/>
    <w:rsid w:val="00711B39"/>
    <w:rsid w:val="00722EA0"/>
    <w:rsid w:val="007363E1"/>
    <w:rsid w:val="00751D42"/>
    <w:rsid w:val="00756078"/>
    <w:rsid w:val="00757F4C"/>
    <w:rsid w:val="007714EE"/>
    <w:rsid w:val="00771A78"/>
    <w:rsid w:val="00776C25"/>
    <w:rsid w:val="00780228"/>
    <w:rsid w:val="007828E1"/>
    <w:rsid w:val="00783F8D"/>
    <w:rsid w:val="00786E5B"/>
    <w:rsid w:val="0078749F"/>
    <w:rsid w:val="00787A8E"/>
    <w:rsid w:val="00793476"/>
    <w:rsid w:val="00793DAF"/>
    <w:rsid w:val="00795E8B"/>
    <w:rsid w:val="007A4E66"/>
    <w:rsid w:val="007A55A9"/>
    <w:rsid w:val="007B362F"/>
    <w:rsid w:val="007C0ED1"/>
    <w:rsid w:val="007C3F82"/>
    <w:rsid w:val="007C3FCF"/>
    <w:rsid w:val="007C4991"/>
    <w:rsid w:val="007C7F94"/>
    <w:rsid w:val="007D0070"/>
    <w:rsid w:val="007D0C54"/>
    <w:rsid w:val="007D21C5"/>
    <w:rsid w:val="007D51D8"/>
    <w:rsid w:val="007D5FEC"/>
    <w:rsid w:val="007E5282"/>
    <w:rsid w:val="007F1323"/>
    <w:rsid w:val="007F4F3F"/>
    <w:rsid w:val="00802612"/>
    <w:rsid w:val="00802CCE"/>
    <w:rsid w:val="00803AAE"/>
    <w:rsid w:val="008164E4"/>
    <w:rsid w:val="008200E0"/>
    <w:rsid w:val="00821F4D"/>
    <w:rsid w:val="00830FEC"/>
    <w:rsid w:val="00831F97"/>
    <w:rsid w:val="008333A5"/>
    <w:rsid w:val="0084242E"/>
    <w:rsid w:val="008447D0"/>
    <w:rsid w:val="008457F3"/>
    <w:rsid w:val="00845C05"/>
    <w:rsid w:val="00845FA3"/>
    <w:rsid w:val="00852EA6"/>
    <w:rsid w:val="00857093"/>
    <w:rsid w:val="00860B08"/>
    <w:rsid w:val="008615B0"/>
    <w:rsid w:val="0086515D"/>
    <w:rsid w:val="00867D9E"/>
    <w:rsid w:val="008721F9"/>
    <w:rsid w:val="008808CC"/>
    <w:rsid w:val="00881BCD"/>
    <w:rsid w:val="0088252F"/>
    <w:rsid w:val="00884559"/>
    <w:rsid w:val="008866EA"/>
    <w:rsid w:val="00887008"/>
    <w:rsid w:val="0089234D"/>
    <w:rsid w:val="008936D7"/>
    <w:rsid w:val="008A03BE"/>
    <w:rsid w:val="008A2925"/>
    <w:rsid w:val="008B0FEE"/>
    <w:rsid w:val="008B1FE5"/>
    <w:rsid w:val="008B2149"/>
    <w:rsid w:val="008B7C16"/>
    <w:rsid w:val="008C0BA6"/>
    <w:rsid w:val="008C1C5A"/>
    <w:rsid w:val="008C4D0D"/>
    <w:rsid w:val="008C4E7B"/>
    <w:rsid w:val="008C5DBA"/>
    <w:rsid w:val="008E43A1"/>
    <w:rsid w:val="008F48F0"/>
    <w:rsid w:val="008F71FC"/>
    <w:rsid w:val="00901DEA"/>
    <w:rsid w:val="00914894"/>
    <w:rsid w:val="00914EB5"/>
    <w:rsid w:val="0093204A"/>
    <w:rsid w:val="00934068"/>
    <w:rsid w:val="00942AE5"/>
    <w:rsid w:val="009519FA"/>
    <w:rsid w:val="00954B7F"/>
    <w:rsid w:val="00957700"/>
    <w:rsid w:val="00960C8C"/>
    <w:rsid w:val="009611BB"/>
    <w:rsid w:val="00962430"/>
    <w:rsid w:val="00962A0A"/>
    <w:rsid w:val="00962E5D"/>
    <w:rsid w:val="0096394F"/>
    <w:rsid w:val="00963CE7"/>
    <w:rsid w:val="009641C8"/>
    <w:rsid w:val="0097219C"/>
    <w:rsid w:val="009756F3"/>
    <w:rsid w:val="00975E0C"/>
    <w:rsid w:val="009764BF"/>
    <w:rsid w:val="00981AE3"/>
    <w:rsid w:val="0098552F"/>
    <w:rsid w:val="0098665C"/>
    <w:rsid w:val="00993AB8"/>
    <w:rsid w:val="00994444"/>
    <w:rsid w:val="009979DB"/>
    <w:rsid w:val="009A0F62"/>
    <w:rsid w:val="009B7A9D"/>
    <w:rsid w:val="009C081E"/>
    <w:rsid w:val="009C2F9A"/>
    <w:rsid w:val="009C470E"/>
    <w:rsid w:val="009D141F"/>
    <w:rsid w:val="009E1C60"/>
    <w:rsid w:val="009E1FDB"/>
    <w:rsid w:val="009E5874"/>
    <w:rsid w:val="009E65B0"/>
    <w:rsid w:val="009F0567"/>
    <w:rsid w:val="009F61D7"/>
    <w:rsid w:val="00A0220D"/>
    <w:rsid w:val="00A048CF"/>
    <w:rsid w:val="00A05C42"/>
    <w:rsid w:val="00A15034"/>
    <w:rsid w:val="00A230BF"/>
    <w:rsid w:val="00A420BE"/>
    <w:rsid w:val="00A530D9"/>
    <w:rsid w:val="00A72B3F"/>
    <w:rsid w:val="00A7407D"/>
    <w:rsid w:val="00A744C9"/>
    <w:rsid w:val="00A8731F"/>
    <w:rsid w:val="00A87A7D"/>
    <w:rsid w:val="00AA36BF"/>
    <w:rsid w:val="00AA5B39"/>
    <w:rsid w:val="00AB62E1"/>
    <w:rsid w:val="00AC013B"/>
    <w:rsid w:val="00AC29DA"/>
    <w:rsid w:val="00AD05E6"/>
    <w:rsid w:val="00AD4001"/>
    <w:rsid w:val="00AD497B"/>
    <w:rsid w:val="00AD5863"/>
    <w:rsid w:val="00AE5816"/>
    <w:rsid w:val="00AF07CE"/>
    <w:rsid w:val="00AF08A2"/>
    <w:rsid w:val="00AF3C6C"/>
    <w:rsid w:val="00AF7173"/>
    <w:rsid w:val="00B03FD6"/>
    <w:rsid w:val="00B07B1A"/>
    <w:rsid w:val="00B12C4F"/>
    <w:rsid w:val="00B13FB0"/>
    <w:rsid w:val="00B144A9"/>
    <w:rsid w:val="00B20E94"/>
    <w:rsid w:val="00B25156"/>
    <w:rsid w:val="00B263E1"/>
    <w:rsid w:val="00B34B30"/>
    <w:rsid w:val="00B34F0D"/>
    <w:rsid w:val="00B37AE7"/>
    <w:rsid w:val="00B504CA"/>
    <w:rsid w:val="00B51DF3"/>
    <w:rsid w:val="00B52A81"/>
    <w:rsid w:val="00B52B7A"/>
    <w:rsid w:val="00B548C6"/>
    <w:rsid w:val="00B604A5"/>
    <w:rsid w:val="00B6681E"/>
    <w:rsid w:val="00B672ED"/>
    <w:rsid w:val="00B746FE"/>
    <w:rsid w:val="00B75B1A"/>
    <w:rsid w:val="00B8228A"/>
    <w:rsid w:val="00B90797"/>
    <w:rsid w:val="00B907F9"/>
    <w:rsid w:val="00B958B7"/>
    <w:rsid w:val="00BA03EC"/>
    <w:rsid w:val="00BC0433"/>
    <w:rsid w:val="00BC5FCA"/>
    <w:rsid w:val="00BC6110"/>
    <w:rsid w:val="00BD77BD"/>
    <w:rsid w:val="00BE072E"/>
    <w:rsid w:val="00BE4935"/>
    <w:rsid w:val="00BE55F4"/>
    <w:rsid w:val="00BE7724"/>
    <w:rsid w:val="00BF354F"/>
    <w:rsid w:val="00BF7712"/>
    <w:rsid w:val="00BF7774"/>
    <w:rsid w:val="00C0357D"/>
    <w:rsid w:val="00C12CF1"/>
    <w:rsid w:val="00C14297"/>
    <w:rsid w:val="00C25249"/>
    <w:rsid w:val="00C4139D"/>
    <w:rsid w:val="00C452B3"/>
    <w:rsid w:val="00C475CC"/>
    <w:rsid w:val="00C508DE"/>
    <w:rsid w:val="00C50C42"/>
    <w:rsid w:val="00C53CC4"/>
    <w:rsid w:val="00C55381"/>
    <w:rsid w:val="00C6026E"/>
    <w:rsid w:val="00C60E7B"/>
    <w:rsid w:val="00C611D8"/>
    <w:rsid w:val="00C637B5"/>
    <w:rsid w:val="00C64C56"/>
    <w:rsid w:val="00C65549"/>
    <w:rsid w:val="00C7023C"/>
    <w:rsid w:val="00C71C00"/>
    <w:rsid w:val="00C728DA"/>
    <w:rsid w:val="00C77246"/>
    <w:rsid w:val="00C80EFF"/>
    <w:rsid w:val="00C80F59"/>
    <w:rsid w:val="00C81FA1"/>
    <w:rsid w:val="00C828A0"/>
    <w:rsid w:val="00C83578"/>
    <w:rsid w:val="00C84D04"/>
    <w:rsid w:val="00C90ABA"/>
    <w:rsid w:val="00CB054E"/>
    <w:rsid w:val="00CC1B27"/>
    <w:rsid w:val="00CD26E6"/>
    <w:rsid w:val="00CD2CF3"/>
    <w:rsid w:val="00CD412C"/>
    <w:rsid w:val="00CD7419"/>
    <w:rsid w:val="00CE5AFC"/>
    <w:rsid w:val="00CE6FCD"/>
    <w:rsid w:val="00CE7198"/>
    <w:rsid w:val="00D0202B"/>
    <w:rsid w:val="00D11319"/>
    <w:rsid w:val="00D11DF2"/>
    <w:rsid w:val="00D14AC2"/>
    <w:rsid w:val="00D25147"/>
    <w:rsid w:val="00D276EF"/>
    <w:rsid w:val="00D40613"/>
    <w:rsid w:val="00D41CDA"/>
    <w:rsid w:val="00D42910"/>
    <w:rsid w:val="00D448E5"/>
    <w:rsid w:val="00D44F61"/>
    <w:rsid w:val="00D6282E"/>
    <w:rsid w:val="00D7056D"/>
    <w:rsid w:val="00D7272C"/>
    <w:rsid w:val="00D76F4B"/>
    <w:rsid w:val="00D83531"/>
    <w:rsid w:val="00D8366E"/>
    <w:rsid w:val="00D8388E"/>
    <w:rsid w:val="00D83F35"/>
    <w:rsid w:val="00D84673"/>
    <w:rsid w:val="00D846DA"/>
    <w:rsid w:val="00D95236"/>
    <w:rsid w:val="00DA143F"/>
    <w:rsid w:val="00DA4A2E"/>
    <w:rsid w:val="00DB0E8F"/>
    <w:rsid w:val="00DB5D41"/>
    <w:rsid w:val="00DB6F4C"/>
    <w:rsid w:val="00DC37B2"/>
    <w:rsid w:val="00DC4EF5"/>
    <w:rsid w:val="00DD345F"/>
    <w:rsid w:val="00DD56C9"/>
    <w:rsid w:val="00DD7816"/>
    <w:rsid w:val="00DE17D7"/>
    <w:rsid w:val="00DE3636"/>
    <w:rsid w:val="00DE50E7"/>
    <w:rsid w:val="00E00428"/>
    <w:rsid w:val="00E05290"/>
    <w:rsid w:val="00E0706A"/>
    <w:rsid w:val="00E133E2"/>
    <w:rsid w:val="00E1658E"/>
    <w:rsid w:val="00E3080B"/>
    <w:rsid w:val="00E41040"/>
    <w:rsid w:val="00E46ECB"/>
    <w:rsid w:val="00E509B2"/>
    <w:rsid w:val="00E556E0"/>
    <w:rsid w:val="00E6006B"/>
    <w:rsid w:val="00E72B15"/>
    <w:rsid w:val="00E7321B"/>
    <w:rsid w:val="00E776A4"/>
    <w:rsid w:val="00E84296"/>
    <w:rsid w:val="00E84C32"/>
    <w:rsid w:val="00E86195"/>
    <w:rsid w:val="00E9192F"/>
    <w:rsid w:val="00E92434"/>
    <w:rsid w:val="00E92BD8"/>
    <w:rsid w:val="00E93AAD"/>
    <w:rsid w:val="00E953A5"/>
    <w:rsid w:val="00E97425"/>
    <w:rsid w:val="00EA129E"/>
    <w:rsid w:val="00EA369B"/>
    <w:rsid w:val="00EB11C7"/>
    <w:rsid w:val="00EC339C"/>
    <w:rsid w:val="00EC3845"/>
    <w:rsid w:val="00EC7CF5"/>
    <w:rsid w:val="00ED253C"/>
    <w:rsid w:val="00ED256D"/>
    <w:rsid w:val="00EE4BF7"/>
    <w:rsid w:val="00EE5BEC"/>
    <w:rsid w:val="00EE7D90"/>
    <w:rsid w:val="00EF3D19"/>
    <w:rsid w:val="00EF45DD"/>
    <w:rsid w:val="00F11087"/>
    <w:rsid w:val="00F44281"/>
    <w:rsid w:val="00F50BCD"/>
    <w:rsid w:val="00F52E92"/>
    <w:rsid w:val="00F56B63"/>
    <w:rsid w:val="00F620B2"/>
    <w:rsid w:val="00F62189"/>
    <w:rsid w:val="00F635D5"/>
    <w:rsid w:val="00F65B86"/>
    <w:rsid w:val="00F65CF2"/>
    <w:rsid w:val="00F7225F"/>
    <w:rsid w:val="00F8209E"/>
    <w:rsid w:val="00F872FB"/>
    <w:rsid w:val="00F970DF"/>
    <w:rsid w:val="00FB220B"/>
    <w:rsid w:val="00FB3F51"/>
    <w:rsid w:val="00FC74D4"/>
    <w:rsid w:val="00FD2EA9"/>
    <w:rsid w:val="00FE40F3"/>
    <w:rsid w:val="00FF54A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555C48-B0E6-4E62-ABAC-2E4EFF378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071C"/>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E0529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E05290"/>
    <w:pPr>
      <w:ind w:right="0"/>
      <w:jc w:val="both"/>
    </w:pPr>
  </w:style>
  <w:style w:type="paragraph" w:customStyle="1" w:styleId="TableSideHeading">
    <w:name w:val="Table SideHeading"/>
    <w:basedOn w:val="TableText"/>
    <w:rsid w:val="00E05290"/>
  </w:style>
  <w:style w:type="paragraph" w:customStyle="1" w:styleId="TableInnerSideHeading">
    <w:name w:val="Table InnerSideHeading"/>
    <w:basedOn w:val="TableSideHeading"/>
    <w:rsid w:val="00E05290"/>
  </w:style>
  <w:style w:type="paragraph" w:styleId="a3">
    <w:name w:val="footnote text"/>
    <w:basedOn w:val="a"/>
    <w:link w:val="a4"/>
    <w:autoRedefine/>
    <w:semiHidden/>
    <w:rsid w:val="00E05290"/>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4">
    <w:name w:val="טקסט הערת שוליים תו"/>
    <w:basedOn w:val="a0"/>
    <w:link w:val="a3"/>
    <w:semiHidden/>
    <w:rsid w:val="00E05290"/>
    <w:rPr>
      <w:rFonts w:ascii="Arial" w:eastAsia="Arial Unicode MS" w:hAnsi="Arial" w:cs="David"/>
      <w:snapToGrid w:val="0"/>
      <w:color w:val="000000"/>
      <w:sz w:val="14"/>
      <w:szCs w:val="20"/>
      <w:lang w:eastAsia="ja-JP"/>
    </w:rPr>
  </w:style>
  <w:style w:type="character" w:styleId="a5">
    <w:name w:val="footnote reference"/>
    <w:aliases w:val="Footnote Reference"/>
    <w:basedOn w:val="a0"/>
    <w:semiHidden/>
    <w:rsid w:val="00E05290"/>
    <w:rPr>
      <w:vertAlign w:val="superscript"/>
    </w:rPr>
  </w:style>
  <w:style w:type="paragraph" w:customStyle="1" w:styleId="P00">
    <w:name w:val="P00"/>
    <w:link w:val="P000"/>
    <w:rsid w:val="00E0529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E05290"/>
    <w:rPr>
      <w:rFonts w:ascii="Times New Roman" w:hAnsi="Times New Roman" w:cs="Times New Roman"/>
      <w:sz w:val="26"/>
      <w:szCs w:val="26"/>
    </w:rPr>
  </w:style>
  <w:style w:type="character" w:customStyle="1" w:styleId="big-number">
    <w:name w:val="big-number"/>
    <w:rsid w:val="00E05290"/>
    <w:rPr>
      <w:rFonts w:ascii="Times New Roman" w:hAnsi="Times New Roman" w:cs="Miriam"/>
      <w:sz w:val="32"/>
      <w:szCs w:val="32"/>
    </w:rPr>
  </w:style>
  <w:style w:type="character" w:customStyle="1" w:styleId="P000">
    <w:name w:val="P00 תו"/>
    <w:link w:val="P00"/>
    <w:rsid w:val="00E05290"/>
    <w:rPr>
      <w:rFonts w:ascii="Times New Roman" w:eastAsia="Times New Roman" w:hAnsi="Times New Roman" w:cs="Times New Roman"/>
      <w:noProof/>
      <w:sz w:val="20"/>
      <w:szCs w:val="26"/>
      <w:lang w:eastAsia="he-IL"/>
    </w:rPr>
  </w:style>
  <w:style w:type="table" w:styleId="a6">
    <w:name w:val="Table Grid"/>
    <w:basedOn w:val="a1"/>
    <w:uiPriority w:val="39"/>
    <w:rsid w:val="00E052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2">
    <w:name w:val="P22"/>
    <w:basedOn w:val="P00"/>
    <w:rsid w:val="007D21C5"/>
    <w:pPr>
      <w:tabs>
        <w:tab w:val="clear" w:pos="624"/>
        <w:tab w:val="clear" w:pos="1021"/>
      </w:tabs>
      <w:ind w:right="1021"/>
    </w:pPr>
  </w:style>
  <w:style w:type="paragraph" w:styleId="a7">
    <w:name w:val="List Paragraph"/>
    <w:basedOn w:val="a"/>
    <w:uiPriority w:val="34"/>
    <w:qFormat/>
    <w:rsid w:val="00CD7419"/>
    <w:pPr>
      <w:ind w:left="720"/>
      <w:contextualSpacing/>
    </w:pPr>
  </w:style>
  <w:style w:type="paragraph" w:styleId="a8">
    <w:name w:val="header"/>
    <w:basedOn w:val="a"/>
    <w:link w:val="a9"/>
    <w:uiPriority w:val="99"/>
    <w:unhideWhenUsed/>
    <w:rsid w:val="005C284A"/>
    <w:pPr>
      <w:tabs>
        <w:tab w:val="center" w:pos="4153"/>
        <w:tab w:val="right" w:pos="8306"/>
      </w:tabs>
      <w:spacing w:before="0" w:line="240" w:lineRule="auto"/>
    </w:pPr>
  </w:style>
  <w:style w:type="character" w:customStyle="1" w:styleId="a9">
    <w:name w:val="כותרת עליונה תו"/>
    <w:basedOn w:val="a0"/>
    <w:link w:val="a8"/>
    <w:uiPriority w:val="99"/>
    <w:rsid w:val="005C284A"/>
    <w:rPr>
      <w:rFonts w:ascii="Hadasa Roso SL" w:eastAsia="MS Mincho" w:hAnsi="Hadasa Roso SL" w:cs="Hadasa Roso SL"/>
      <w:color w:val="000000"/>
      <w:spacing w:val="1"/>
      <w:sz w:val="17"/>
      <w:szCs w:val="17"/>
      <w:lang w:eastAsia="ja-JP"/>
    </w:rPr>
  </w:style>
  <w:style w:type="paragraph" w:styleId="aa">
    <w:name w:val="footer"/>
    <w:basedOn w:val="a"/>
    <w:link w:val="ab"/>
    <w:uiPriority w:val="99"/>
    <w:unhideWhenUsed/>
    <w:rsid w:val="005C284A"/>
    <w:pPr>
      <w:tabs>
        <w:tab w:val="center" w:pos="4153"/>
        <w:tab w:val="right" w:pos="8306"/>
      </w:tabs>
      <w:spacing w:before="0" w:line="240" w:lineRule="auto"/>
    </w:pPr>
  </w:style>
  <w:style w:type="character" w:customStyle="1" w:styleId="ab">
    <w:name w:val="כותרת תחתונה תו"/>
    <w:basedOn w:val="a0"/>
    <w:link w:val="aa"/>
    <w:uiPriority w:val="99"/>
    <w:rsid w:val="005C284A"/>
    <w:rPr>
      <w:rFonts w:ascii="Hadasa Roso SL" w:eastAsia="MS Mincho" w:hAnsi="Hadasa Roso SL" w:cs="Hadasa Roso SL"/>
      <w:color w:val="000000"/>
      <w:spacing w:val="1"/>
      <w:sz w:val="17"/>
      <w:szCs w:val="17"/>
      <w:lang w:eastAsia="ja-JP"/>
    </w:rPr>
  </w:style>
  <w:style w:type="paragraph" w:styleId="ac">
    <w:name w:val="Balloon Text"/>
    <w:basedOn w:val="a"/>
    <w:link w:val="ad"/>
    <w:uiPriority w:val="99"/>
    <w:semiHidden/>
    <w:unhideWhenUsed/>
    <w:rsid w:val="009F0567"/>
    <w:pPr>
      <w:spacing w:before="0" w:line="240" w:lineRule="auto"/>
    </w:pPr>
    <w:rPr>
      <w:rFonts w:ascii="Tahoma" w:hAnsi="Tahoma" w:cs="Tahoma"/>
      <w:sz w:val="18"/>
      <w:szCs w:val="18"/>
    </w:rPr>
  </w:style>
  <w:style w:type="character" w:customStyle="1" w:styleId="ad">
    <w:name w:val="טקסט בלונים תו"/>
    <w:basedOn w:val="a0"/>
    <w:link w:val="ac"/>
    <w:uiPriority w:val="99"/>
    <w:semiHidden/>
    <w:rsid w:val="009F0567"/>
    <w:rPr>
      <w:rFonts w:ascii="Tahoma" w:eastAsia="MS Mincho" w:hAnsi="Tahoma" w:cs="Tahoma"/>
      <w:color w:val="000000"/>
      <w:spacing w:val="1"/>
      <w:sz w:val="18"/>
      <w:szCs w:val="18"/>
      <w:lang w:eastAsia="ja-JP"/>
    </w:rPr>
  </w:style>
  <w:style w:type="character" w:styleId="ae">
    <w:name w:val="annotation reference"/>
    <w:basedOn w:val="a0"/>
    <w:uiPriority w:val="99"/>
    <w:semiHidden/>
    <w:unhideWhenUsed/>
    <w:rsid w:val="009F61D7"/>
    <w:rPr>
      <w:sz w:val="16"/>
      <w:szCs w:val="16"/>
    </w:rPr>
  </w:style>
  <w:style w:type="paragraph" w:styleId="af">
    <w:name w:val="annotation text"/>
    <w:basedOn w:val="a"/>
    <w:link w:val="af0"/>
    <w:uiPriority w:val="99"/>
    <w:semiHidden/>
    <w:unhideWhenUsed/>
    <w:rsid w:val="009F61D7"/>
    <w:pPr>
      <w:spacing w:line="240" w:lineRule="auto"/>
    </w:pPr>
    <w:rPr>
      <w:sz w:val="20"/>
      <w:szCs w:val="20"/>
    </w:rPr>
  </w:style>
  <w:style w:type="character" w:customStyle="1" w:styleId="af0">
    <w:name w:val="טקסט הערה תו"/>
    <w:basedOn w:val="a0"/>
    <w:link w:val="af"/>
    <w:uiPriority w:val="99"/>
    <w:semiHidden/>
    <w:rsid w:val="009F61D7"/>
    <w:rPr>
      <w:rFonts w:ascii="Hadasa Roso SL" w:eastAsia="MS Mincho" w:hAnsi="Hadasa Roso SL" w:cs="Hadasa Roso SL"/>
      <w:color w:val="000000"/>
      <w:spacing w:val="1"/>
      <w:sz w:val="20"/>
      <w:szCs w:val="20"/>
      <w:lang w:eastAsia="ja-JP"/>
    </w:rPr>
  </w:style>
  <w:style w:type="paragraph" w:styleId="af1">
    <w:name w:val="annotation subject"/>
    <w:basedOn w:val="af"/>
    <w:next w:val="af"/>
    <w:link w:val="af2"/>
    <w:uiPriority w:val="99"/>
    <w:semiHidden/>
    <w:unhideWhenUsed/>
    <w:rsid w:val="009F61D7"/>
    <w:rPr>
      <w:b/>
      <w:bCs/>
    </w:rPr>
  </w:style>
  <w:style w:type="character" w:customStyle="1" w:styleId="af2">
    <w:name w:val="נושא הערה תו"/>
    <w:basedOn w:val="af0"/>
    <w:link w:val="af1"/>
    <w:uiPriority w:val="99"/>
    <w:semiHidden/>
    <w:rsid w:val="009F61D7"/>
    <w:rPr>
      <w:rFonts w:ascii="Hadasa Roso SL" w:eastAsia="MS Mincho" w:hAnsi="Hadasa Roso SL" w:cs="Hadasa Roso SL"/>
      <w:b/>
      <w:bCs/>
      <w:color w:val="000000"/>
      <w:spacing w:val="1"/>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895A6B-98C5-495E-8814-CED069AC292A}">
  <ds:schemaRefs>
    <ds:schemaRef ds:uri="http://schemas.openxmlformats.org/officeDocument/2006/bibliography"/>
  </ds:schemaRefs>
</ds:datastoreItem>
</file>

<file path=customXml/itemProps2.xml><?xml version="1.0" encoding="utf-8"?>
<ds:datastoreItem xmlns:ds="http://schemas.openxmlformats.org/officeDocument/2006/customXml" ds:itemID="{67EDAD02-A6A0-49C2-B229-A56DA4039378}"/>
</file>

<file path=customXml/itemProps3.xml><?xml version="1.0" encoding="utf-8"?>
<ds:datastoreItem xmlns:ds="http://schemas.openxmlformats.org/officeDocument/2006/customXml" ds:itemID="{944A3061-25A0-4FD4-A0DD-A8C4472E1B6B}"/>
</file>

<file path=customXml/itemProps4.xml><?xml version="1.0" encoding="utf-8"?>
<ds:datastoreItem xmlns:ds="http://schemas.openxmlformats.org/officeDocument/2006/customXml" ds:itemID="{97D9B27C-41C0-4443-9862-7A1B349FD631}"/>
</file>

<file path=docProps/app.xml><?xml version="1.0" encoding="utf-8"?>
<Properties xmlns="http://schemas.openxmlformats.org/officeDocument/2006/extended-properties" xmlns:vt="http://schemas.openxmlformats.org/officeDocument/2006/docPropsVTypes">
  <Template>Normal</Template>
  <TotalTime>2</TotalTime>
  <Pages>12</Pages>
  <Words>3724</Words>
  <Characters>18622</Characters>
  <Application>Microsoft Office Word</Application>
  <DocSecurity>4</DocSecurity>
  <Lines>155</Lines>
  <Paragraphs>44</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22302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חופית עלפי</cp:lastModifiedBy>
  <cp:revision>2</cp:revision>
  <cp:lastPrinted>2018-01-25T12:34:00Z</cp:lastPrinted>
  <dcterms:created xsi:type="dcterms:W3CDTF">2018-01-29T08:23:00Z</dcterms:created>
  <dcterms:modified xsi:type="dcterms:W3CDTF">2018-01-29T08:23:00Z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2064365</vt:r8>
  </property>
</Properties>
</file>