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9F9" w:rsidRDefault="004C39F9" w:rsidP="004C39F9">
      <w:pPr>
        <w:pStyle w:val="a3"/>
        <w:spacing w:after="0" w:line="240" w:lineRule="auto"/>
        <w:ind w:left="-624"/>
        <w:contextualSpacing w:val="0"/>
        <w:jc w:val="right"/>
        <w:rPr>
          <w:rFonts w:cs="David"/>
          <w:sz w:val="24"/>
          <w:szCs w:val="24"/>
          <w:rtl/>
        </w:rPr>
      </w:pPr>
      <w:bookmarkStart w:id="0" w:name="_GoBack"/>
      <w:bookmarkEnd w:id="0"/>
      <w:r w:rsidRPr="00392F53">
        <w:rPr>
          <w:rFonts w:cs="David"/>
          <w:sz w:val="24"/>
          <w:szCs w:val="24"/>
        </w:rPr>
        <w:t xml:space="preserve"> </w:t>
      </w:r>
      <w:r>
        <w:rPr>
          <w:rFonts w:cs="David" w:hint="cs"/>
          <w:sz w:val="24"/>
          <w:szCs w:val="24"/>
          <w:rtl/>
        </w:rPr>
        <w:t xml:space="preserve"> 31.1.2018</w:t>
      </w:r>
    </w:p>
    <w:p w:rsidR="004C39F9" w:rsidRPr="00392F53" w:rsidRDefault="004C39F9" w:rsidP="004C39F9">
      <w:pPr>
        <w:pStyle w:val="a3"/>
        <w:spacing w:after="0" w:line="240" w:lineRule="auto"/>
        <w:ind w:left="-624"/>
        <w:contextualSpacing w:val="0"/>
        <w:jc w:val="right"/>
        <w:rPr>
          <w:rFonts w:cs="David"/>
          <w:sz w:val="24"/>
          <w:szCs w:val="24"/>
          <w:rtl/>
        </w:rPr>
      </w:pPr>
      <w:r>
        <w:rPr>
          <w:rFonts w:cs="David" w:hint="cs"/>
          <w:sz w:val="24"/>
          <w:szCs w:val="24"/>
          <w:rtl/>
        </w:rPr>
        <w:t xml:space="preserve">ט"ו בשבט </w:t>
      </w:r>
      <w:proofErr w:type="spellStart"/>
      <w:r>
        <w:rPr>
          <w:rFonts w:cs="David" w:hint="cs"/>
          <w:sz w:val="24"/>
          <w:szCs w:val="24"/>
          <w:rtl/>
        </w:rPr>
        <w:t>התשע"ח</w:t>
      </w:r>
      <w:proofErr w:type="spellEnd"/>
    </w:p>
    <w:p w:rsidR="004C39F9" w:rsidRDefault="004C39F9" w:rsidP="004C39F9">
      <w:pPr>
        <w:pStyle w:val="a3"/>
        <w:spacing w:after="0" w:line="240" w:lineRule="auto"/>
        <w:ind w:left="-624"/>
        <w:contextualSpacing w:val="0"/>
        <w:rPr>
          <w:rFonts w:cs="David"/>
          <w:sz w:val="24"/>
          <w:szCs w:val="24"/>
          <w:rtl/>
        </w:rPr>
      </w:pPr>
    </w:p>
    <w:p w:rsidR="004C39F9" w:rsidRPr="004C39F9" w:rsidRDefault="004C39F9" w:rsidP="004C39F9">
      <w:pPr>
        <w:pStyle w:val="a3"/>
        <w:spacing w:after="0" w:line="360" w:lineRule="auto"/>
        <w:ind w:left="-624"/>
        <w:contextualSpacing w:val="0"/>
        <w:rPr>
          <w:rFonts w:cs="David"/>
          <w:sz w:val="26"/>
          <w:szCs w:val="26"/>
          <w:rtl/>
        </w:rPr>
      </w:pPr>
      <w:r w:rsidRPr="004C39F9">
        <w:rPr>
          <w:rFonts w:cs="David" w:hint="cs"/>
          <w:sz w:val="26"/>
          <w:szCs w:val="26"/>
          <w:rtl/>
        </w:rPr>
        <w:t>אל: חברי ועדת החוקה חוק ומשפט של הכנסת</w:t>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t xml:space="preserve">     </w:t>
      </w:r>
    </w:p>
    <w:p w:rsidR="004C39F9" w:rsidRPr="004C39F9" w:rsidRDefault="004C39F9" w:rsidP="004C39F9">
      <w:pPr>
        <w:pStyle w:val="a3"/>
        <w:spacing w:after="0" w:line="360" w:lineRule="auto"/>
        <w:ind w:left="-624"/>
        <w:contextualSpacing w:val="0"/>
        <w:rPr>
          <w:rFonts w:cs="David"/>
          <w:sz w:val="26"/>
          <w:szCs w:val="26"/>
          <w:rtl/>
        </w:rPr>
      </w:pPr>
      <w:r w:rsidRPr="004C39F9">
        <w:rPr>
          <w:rFonts w:cs="David" w:hint="cs"/>
          <w:sz w:val="26"/>
          <w:szCs w:val="26"/>
          <w:rtl/>
        </w:rPr>
        <w:t>מאת: הייעוץ המשפטי לוועדה</w:t>
      </w:r>
      <w:r w:rsidRPr="004C39F9">
        <w:rPr>
          <w:rFonts w:cs="David" w:hint="cs"/>
          <w:sz w:val="26"/>
          <w:szCs w:val="26"/>
          <w:rtl/>
        </w:rPr>
        <w:tab/>
        <w:t xml:space="preserve"> </w:t>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r w:rsidRPr="004C39F9">
        <w:rPr>
          <w:rFonts w:cs="David" w:hint="cs"/>
          <w:sz w:val="26"/>
          <w:szCs w:val="26"/>
          <w:rtl/>
        </w:rPr>
        <w:tab/>
      </w:r>
    </w:p>
    <w:p w:rsidR="004C39F9" w:rsidRPr="00622CEA" w:rsidRDefault="004C39F9" w:rsidP="004C39F9">
      <w:pPr>
        <w:spacing w:line="360" w:lineRule="auto"/>
        <w:jc w:val="center"/>
        <w:rPr>
          <w:rFonts w:cs="David"/>
          <w:b/>
          <w:bCs/>
          <w:sz w:val="24"/>
          <w:szCs w:val="24"/>
          <w:u w:val="single"/>
          <w:rtl/>
        </w:rPr>
      </w:pPr>
    </w:p>
    <w:p w:rsidR="004C39F9" w:rsidRDefault="004C39F9" w:rsidP="004C39F9">
      <w:pPr>
        <w:pStyle w:val="TableSideHeading"/>
        <w:ind w:left="-1333"/>
        <w:jc w:val="center"/>
        <w:rPr>
          <w:b/>
          <w:bCs/>
          <w:sz w:val="28"/>
          <w:szCs w:val="28"/>
          <w:u w:val="single"/>
          <w:rtl/>
        </w:rPr>
      </w:pPr>
      <w:r w:rsidRPr="004C39F9">
        <w:rPr>
          <w:rFonts w:hint="cs"/>
          <w:b/>
          <w:bCs/>
          <w:sz w:val="28"/>
          <w:szCs w:val="28"/>
          <w:u w:val="single"/>
          <w:rtl/>
        </w:rPr>
        <w:t xml:space="preserve">מסמך הכנה לדיון בהצעת חוק רואי החשבון (תיקון מס' 9), </w:t>
      </w:r>
      <w:proofErr w:type="spellStart"/>
      <w:r w:rsidRPr="004C39F9">
        <w:rPr>
          <w:rFonts w:hint="cs"/>
          <w:b/>
          <w:bCs/>
          <w:sz w:val="28"/>
          <w:szCs w:val="28"/>
          <w:u w:val="single"/>
          <w:rtl/>
        </w:rPr>
        <w:t>התשע"ז</w:t>
      </w:r>
      <w:proofErr w:type="spellEnd"/>
      <w:r w:rsidRPr="004C39F9">
        <w:rPr>
          <w:rFonts w:hint="cs"/>
          <w:b/>
          <w:bCs/>
          <w:sz w:val="28"/>
          <w:szCs w:val="28"/>
          <w:u w:val="single"/>
          <w:rtl/>
        </w:rPr>
        <w:t>- 2017</w:t>
      </w:r>
    </w:p>
    <w:p w:rsidR="004C39F9" w:rsidRDefault="004C39F9" w:rsidP="004C39F9">
      <w:pPr>
        <w:pStyle w:val="TableSideHeading"/>
        <w:ind w:left="-1333"/>
        <w:jc w:val="center"/>
        <w:rPr>
          <w:b/>
          <w:bCs/>
          <w:sz w:val="28"/>
          <w:szCs w:val="28"/>
          <w:u w:val="single"/>
          <w:rtl/>
        </w:rPr>
      </w:pPr>
    </w:p>
    <w:p w:rsidR="004C39F9" w:rsidRDefault="004C39F9" w:rsidP="00F17D1E">
      <w:pPr>
        <w:pStyle w:val="TableSideHeading"/>
        <w:ind w:left="-1333"/>
        <w:jc w:val="both"/>
        <w:rPr>
          <w:sz w:val="26"/>
          <w:rtl/>
        </w:rPr>
      </w:pPr>
      <w:r w:rsidRPr="004C39F9">
        <w:rPr>
          <w:rFonts w:hint="cs"/>
          <w:sz w:val="26"/>
          <w:rtl/>
        </w:rPr>
        <w:t>הצעת</w:t>
      </w:r>
      <w:r>
        <w:rPr>
          <w:rFonts w:hint="cs"/>
          <w:sz w:val="26"/>
          <w:rtl/>
        </w:rPr>
        <w:t xml:space="preserve"> חוק זו היא הצעת חוק ממשלתית שנועדה להסדיר את נושא </w:t>
      </w:r>
      <w:r w:rsidRPr="00B37DC1">
        <w:rPr>
          <w:rFonts w:hint="cs"/>
          <w:b/>
          <w:bCs/>
          <w:sz w:val="26"/>
          <w:u w:val="single"/>
          <w:rtl/>
        </w:rPr>
        <w:t>השיפוט המשמעתי</w:t>
      </w:r>
      <w:r>
        <w:rPr>
          <w:rFonts w:hint="cs"/>
          <w:sz w:val="26"/>
          <w:rtl/>
        </w:rPr>
        <w:t xml:space="preserve"> של רואי החשבון ולהעביר את סמכות השיפוט</w:t>
      </w:r>
      <w:r w:rsidR="00B37DC1">
        <w:rPr>
          <w:rFonts w:hint="cs"/>
          <w:sz w:val="26"/>
          <w:rtl/>
        </w:rPr>
        <w:t xml:space="preserve"> המשמעתי ממועצת רואי החשבון </w:t>
      </w:r>
      <w:proofErr w:type="spellStart"/>
      <w:r w:rsidR="00B37DC1">
        <w:rPr>
          <w:rFonts w:hint="cs"/>
          <w:sz w:val="26"/>
          <w:rtl/>
        </w:rPr>
        <w:t>שהיתה</w:t>
      </w:r>
      <w:proofErr w:type="spellEnd"/>
      <w:r w:rsidR="00B37DC1">
        <w:rPr>
          <w:rFonts w:hint="cs"/>
          <w:sz w:val="26"/>
          <w:rtl/>
        </w:rPr>
        <w:t xml:space="preserve"> אחראית עד כה לשיפוט המשמעתי, לוועדת משמעת שתפעל כטריבונל מעין-שיפוטי עצמאי ובלתי תלוי.</w:t>
      </w:r>
    </w:p>
    <w:p w:rsidR="00B37DC1" w:rsidRDefault="00B37DC1" w:rsidP="00E71EBD">
      <w:pPr>
        <w:pStyle w:val="TableSideHeading"/>
        <w:ind w:left="-1333"/>
        <w:jc w:val="both"/>
        <w:rPr>
          <w:sz w:val="26"/>
          <w:rtl/>
        </w:rPr>
      </w:pPr>
    </w:p>
    <w:p w:rsidR="00B37DC1" w:rsidRDefault="00B37DC1" w:rsidP="00E71EBD">
      <w:pPr>
        <w:pStyle w:val="TableSideHeading"/>
        <w:ind w:left="-1333"/>
        <w:jc w:val="both"/>
        <w:rPr>
          <w:sz w:val="26"/>
          <w:rtl/>
        </w:rPr>
      </w:pPr>
      <w:r>
        <w:rPr>
          <w:rFonts w:hint="cs"/>
          <w:sz w:val="26"/>
          <w:rtl/>
        </w:rPr>
        <w:t xml:space="preserve">סעיף 12 לחוק רואי חשבון, התשט"ו-1955 מקנה למועצת רואי החשבון את הסמכות להחליט על נקיטת אמצעי משמעת, לאחר הליך של חקירה שגם הוא מתבצע ע"י המועצה או מי שמינתה לכך מבין חבריה. שיפוט משמעתי בידי מועצת רואי החשבון עצמה מעורר קשיים רבים -  למועצה אין את הכלים המתאימים לחקור את המקרים המובאים פניה, ריכוז סמכויות החקירה, ההחלטה והאכיפה בידי גוף אחד הוא בעייתי ביותר ובמקרים רבים קיים ניגוד עניינים בין מי מחברי המועצה לבין </w:t>
      </w:r>
      <w:proofErr w:type="spellStart"/>
      <w:r>
        <w:rPr>
          <w:rFonts w:hint="cs"/>
          <w:sz w:val="26"/>
          <w:rtl/>
        </w:rPr>
        <w:t>הענין</w:t>
      </w:r>
      <w:proofErr w:type="spellEnd"/>
      <w:r>
        <w:rPr>
          <w:rFonts w:hint="cs"/>
          <w:sz w:val="26"/>
          <w:rtl/>
        </w:rPr>
        <w:t xml:space="preserve"> אשר בו הם אמורים לדון. </w:t>
      </w:r>
    </w:p>
    <w:p w:rsidR="00B37DC1" w:rsidRDefault="00B37DC1" w:rsidP="00E71EBD">
      <w:pPr>
        <w:pStyle w:val="TableSideHeading"/>
        <w:ind w:left="-1333"/>
        <w:jc w:val="both"/>
        <w:rPr>
          <w:sz w:val="26"/>
          <w:rtl/>
        </w:rPr>
      </w:pPr>
    </w:p>
    <w:p w:rsidR="00B37DC1" w:rsidRDefault="00B37DC1" w:rsidP="00F17D1E">
      <w:pPr>
        <w:pStyle w:val="TableSideHeading"/>
        <w:ind w:left="-1333"/>
        <w:jc w:val="both"/>
        <w:rPr>
          <w:sz w:val="26"/>
          <w:rtl/>
        </w:rPr>
      </w:pPr>
      <w:r w:rsidRPr="00E71EBD">
        <w:rPr>
          <w:rFonts w:hint="cs"/>
          <w:b/>
          <w:bCs/>
          <w:sz w:val="26"/>
          <w:u w:val="single"/>
          <w:rtl/>
        </w:rPr>
        <w:t>חוק רואי חשבון, התשט"ו-1955 הינו דבר חקיקה</w:t>
      </w:r>
      <w:r w:rsidR="00E71EBD" w:rsidRPr="00E71EBD">
        <w:rPr>
          <w:rFonts w:hint="cs"/>
          <w:b/>
          <w:bCs/>
          <w:sz w:val="26"/>
          <w:u w:val="single"/>
          <w:rtl/>
        </w:rPr>
        <w:t xml:space="preserve"> ישן</w:t>
      </w:r>
      <w:r w:rsidR="00E71EBD">
        <w:rPr>
          <w:rFonts w:hint="cs"/>
          <w:sz w:val="26"/>
          <w:rtl/>
        </w:rPr>
        <w:t xml:space="preserve">. </w:t>
      </w:r>
      <w:r w:rsidR="00E71EBD" w:rsidRPr="00E71EBD">
        <w:rPr>
          <w:rFonts w:hint="cs"/>
          <w:b/>
          <w:bCs/>
          <w:sz w:val="26"/>
          <w:u w:val="single"/>
          <w:rtl/>
        </w:rPr>
        <w:t xml:space="preserve">מטרתה של הצעת החוק, ושל השינויים שהוכנסו בעקבות הערות הייעוץ המשפטי לוועדה, היא להתאים את הוראותיו למודלים חקיקתיים </w:t>
      </w:r>
      <w:proofErr w:type="spellStart"/>
      <w:r w:rsidR="00E71EBD" w:rsidRPr="00E71EBD">
        <w:rPr>
          <w:rFonts w:hint="cs"/>
          <w:b/>
          <w:bCs/>
          <w:sz w:val="26"/>
          <w:u w:val="single"/>
          <w:rtl/>
        </w:rPr>
        <w:t>ע</w:t>
      </w:r>
      <w:r w:rsidR="00F17D1E">
        <w:rPr>
          <w:rFonts w:hint="cs"/>
          <w:b/>
          <w:bCs/>
          <w:sz w:val="26"/>
          <w:u w:val="single"/>
          <w:rtl/>
        </w:rPr>
        <w:t>כשווים</w:t>
      </w:r>
      <w:proofErr w:type="spellEnd"/>
      <w:r w:rsidR="00E71EBD">
        <w:rPr>
          <w:rFonts w:hint="cs"/>
          <w:b/>
          <w:bCs/>
          <w:sz w:val="26"/>
          <w:u w:val="single"/>
          <w:rtl/>
        </w:rPr>
        <w:t xml:space="preserve"> ולאמץ</w:t>
      </w:r>
      <w:r w:rsidR="00E71EBD" w:rsidRPr="00E71EBD">
        <w:rPr>
          <w:rFonts w:hint="cs"/>
          <w:b/>
          <w:bCs/>
          <w:sz w:val="26"/>
          <w:u w:val="single"/>
          <w:rtl/>
        </w:rPr>
        <w:t xml:space="preserve"> מודל חקיקה עדכני המסדיר את השיפוט המשמעתי של בעלי מקצוע מוסדרים</w:t>
      </w:r>
      <w:r w:rsidR="00E71EBD">
        <w:rPr>
          <w:rFonts w:hint="cs"/>
          <w:b/>
          <w:bCs/>
          <w:sz w:val="26"/>
          <w:u w:val="single"/>
          <w:rtl/>
        </w:rPr>
        <w:t xml:space="preserve">.  </w:t>
      </w:r>
      <w:r w:rsidR="00E71EBD" w:rsidRPr="00E71EBD">
        <w:rPr>
          <w:rFonts w:hint="cs"/>
          <w:sz w:val="26"/>
          <w:rtl/>
        </w:rPr>
        <w:t>בחקיקה</w:t>
      </w:r>
      <w:r w:rsidR="00E71EBD">
        <w:rPr>
          <w:rFonts w:hint="cs"/>
          <w:sz w:val="26"/>
          <w:rtl/>
        </w:rPr>
        <w:t xml:space="preserve"> העדכנית דוגמת חוק ההנדסאים והטכנאים המוסמכים, התשע"ג-2012, חוק המתווכים במקרקעין (תיקון מס' 7), התשע"ב-2012 וחוק הסדרת העיסוק במקצועות הבריאות, התשס"ח-2008 מקובל כי השיפוט המשמעתי של בעלי המקצוע המוסדר נעשה בידי טריבונל מעין שיפוטי עצמאי. ההליך עצמו נושא אופי של הליך אדברסרי הנפתח ביוזמת תובע ומתנהל באופן דומה להליך פלילי.</w:t>
      </w:r>
    </w:p>
    <w:p w:rsidR="0048744C" w:rsidRDefault="0048744C" w:rsidP="00E71EBD">
      <w:pPr>
        <w:pStyle w:val="TableSideHeading"/>
        <w:ind w:left="-1333"/>
        <w:jc w:val="both"/>
        <w:rPr>
          <w:sz w:val="26"/>
          <w:rtl/>
        </w:rPr>
      </w:pPr>
    </w:p>
    <w:p w:rsidR="0048744C" w:rsidRDefault="0048744C" w:rsidP="00E71EBD">
      <w:pPr>
        <w:pStyle w:val="TableSideHeading"/>
        <w:ind w:left="-1333"/>
        <w:jc w:val="both"/>
        <w:rPr>
          <w:sz w:val="26"/>
          <w:rtl/>
        </w:rPr>
      </w:pPr>
      <w:r>
        <w:rPr>
          <w:rFonts w:hint="cs"/>
          <w:sz w:val="26"/>
          <w:rtl/>
        </w:rPr>
        <w:t xml:space="preserve">להלן יסקרו </w:t>
      </w:r>
      <w:r w:rsidRPr="00F1582C">
        <w:rPr>
          <w:rFonts w:hint="cs"/>
          <w:b/>
          <w:bCs/>
          <w:sz w:val="26"/>
          <w:u w:val="single"/>
          <w:rtl/>
        </w:rPr>
        <w:t>עיקרי השינויים</w:t>
      </w:r>
      <w:r>
        <w:rPr>
          <w:rFonts w:hint="cs"/>
          <w:sz w:val="26"/>
          <w:rtl/>
        </w:rPr>
        <w:t xml:space="preserve"> המוצעים בהצעת החוק </w:t>
      </w:r>
      <w:r w:rsidR="000D70FC">
        <w:rPr>
          <w:rFonts w:hint="cs"/>
          <w:sz w:val="26"/>
          <w:rtl/>
        </w:rPr>
        <w:t xml:space="preserve">כפי שהם מופיעים </w:t>
      </w:r>
      <w:r w:rsidR="000D70FC" w:rsidRPr="003473B6">
        <w:rPr>
          <w:rFonts w:hint="cs"/>
          <w:sz w:val="26"/>
          <w:u w:val="single"/>
          <w:rtl/>
        </w:rPr>
        <w:t>בנוסח המוצע לדיון מטעם הייעוץ המשפטי של הוועדה</w:t>
      </w:r>
      <w:r w:rsidR="00A21777">
        <w:rPr>
          <w:rFonts w:hint="cs"/>
          <w:sz w:val="26"/>
          <w:rtl/>
        </w:rPr>
        <w:t xml:space="preserve"> ובהתאם לסדר בו הם מופיעים בה </w:t>
      </w:r>
      <w:r>
        <w:rPr>
          <w:sz w:val="26"/>
          <w:rtl/>
        </w:rPr>
        <w:t>–</w:t>
      </w:r>
      <w:r>
        <w:rPr>
          <w:rFonts w:hint="cs"/>
          <w:sz w:val="26"/>
          <w:rtl/>
        </w:rPr>
        <w:t xml:space="preserve"> </w:t>
      </w:r>
    </w:p>
    <w:p w:rsidR="0048744C" w:rsidRDefault="0048744C" w:rsidP="00E71EBD">
      <w:pPr>
        <w:pStyle w:val="TableSideHeading"/>
        <w:ind w:left="-1333"/>
        <w:jc w:val="both"/>
        <w:rPr>
          <w:sz w:val="26"/>
          <w:rtl/>
        </w:rPr>
      </w:pPr>
    </w:p>
    <w:p w:rsidR="0048744C" w:rsidRDefault="0048744C" w:rsidP="0048744C">
      <w:pPr>
        <w:pStyle w:val="TableSideHeading"/>
        <w:numPr>
          <w:ilvl w:val="0"/>
          <w:numId w:val="1"/>
        </w:numPr>
        <w:jc w:val="both"/>
        <w:rPr>
          <w:sz w:val="26"/>
        </w:rPr>
      </w:pPr>
      <w:r w:rsidRPr="00E06131">
        <w:rPr>
          <w:rFonts w:hint="cs"/>
          <w:b/>
          <w:bCs/>
          <w:sz w:val="26"/>
          <w:u w:val="single"/>
          <w:rtl/>
        </w:rPr>
        <w:t>סעיפים 5-7 לנוסח המוצע</w:t>
      </w:r>
      <w:r>
        <w:rPr>
          <w:rFonts w:hint="cs"/>
          <w:sz w:val="26"/>
          <w:rtl/>
        </w:rPr>
        <w:t xml:space="preserve"> -  בסעיף 5 מוצע להגדיר את תפקידי מועצת רואי החשבון שעד כה לא הוגדרו במפורש. סעיף זה קיים בחקיקה מסדירה משווה. בסעיף 6 מוצע לקבוע את סמכותה של המועצה למנות ועדות משנה לעניינים מסוימים ואת דרך פעולתן ובסעיף 7 מוצע לקבוע כי תוקף פעולות המועצה לא יפגע </w:t>
      </w:r>
      <w:r w:rsidR="00E06131">
        <w:rPr>
          <w:rFonts w:hint="cs"/>
          <w:sz w:val="26"/>
          <w:rtl/>
        </w:rPr>
        <w:t xml:space="preserve">מחמת היעדרות או ליקוי במינוי אחד מחבריה. </w:t>
      </w:r>
    </w:p>
    <w:p w:rsidR="00E06131" w:rsidRDefault="003632F2" w:rsidP="0048744C">
      <w:pPr>
        <w:pStyle w:val="TableSideHeading"/>
        <w:numPr>
          <w:ilvl w:val="0"/>
          <w:numId w:val="1"/>
        </w:numPr>
        <w:jc w:val="both"/>
        <w:rPr>
          <w:sz w:val="26"/>
        </w:rPr>
      </w:pPr>
      <w:r w:rsidRPr="003632F2">
        <w:rPr>
          <w:rFonts w:hint="cs"/>
          <w:b/>
          <w:bCs/>
          <w:sz w:val="26"/>
          <w:u w:val="single"/>
          <w:rtl/>
        </w:rPr>
        <w:lastRenderedPageBreak/>
        <w:t>סעיף 9 לנוסח המוצע</w:t>
      </w:r>
      <w:r>
        <w:rPr>
          <w:rFonts w:hint="cs"/>
          <w:sz w:val="26"/>
          <w:rtl/>
        </w:rPr>
        <w:t xml:space="preserve"> </w:t>
      </w:r>
      <w:r>
        <w:rPr>
          <w:sz w:val="26"/>
          <w:rtl/>
        </w:rPr>
        <w:t>–</w:t>
      </w:r>
      <w:r>
        <w:rPr>
          <w:rFonts w:hint="cs"/>
          <w:sz w:val="26"/>
          <w:rtl/>
        </w:rPr>
        <w:t xml:space="preserve"> עניינו באפשרות המועצה לסרב לתת רישיון רואה חשבון למבקש רישיון. התנאים בסעיף חודדו והוחמרו לעומת המצב הקיים כיום (בסעיף 4(ב) לחוק רואי חשבון) והותאמו לנוסח הקיים בחקיקה דומה חדשה. שיקול הדעת של המועצה יוגבל לבחינת הרשעתו של המבקש בעבירה פלילית או משמעתית שמפאת חומרתן יש בהן כדי לפסול אותו וכן לעובדות אחרות שמשקלן הוא כזה ש</w:t>
      </w:r>
      <w:r w:rsidR="00122189">
        <w:rPr>
          <w:rFonts w:hint="cs"/>
          <w:sz w:val="26"/>
          <w:rtl/>
        </w:rPr>
        <w:t>י</w:t>
      </w:r>
      <w:r>
        <w:rPr>
          <w:rFonts w:hint="cs"/>
          <w:sz w:val="26"/>
          <w:rtl/>
        </w:rPr>
        <w:t xml:space="preserve">יתן בידי המועצה עילה לסירוב לתת רישיון. </w:t>
      </w:r>
    </w:p>
    <w:p w:rsidR="009F6EF5" w:rsidRDefault="009F6EF5" w:rsidP="009F6EF5">
      <w:pPr>
        <w:pStyle w:val="TableSideHeading"/>
        <w:ind w:left="-973"/>
        <w:jc w:val="both"/>
        <w:rPr>
          <w:sz w:val="26"/>
        </w:rPr>
      </w:pPr>
    </w:p>
    <w:p w:rsidR="00861208" w:rsidRDefault="00861208" w:rsidP="00F955C9">
      <w:pPr>
        <w:pStyle w:val="TableSideHeading"/>
        <w:numPr>
          <w:ilvl w:val="0"/>
          <w:numId w:val="1"/>
        </w:numPr>
        <w:jc w:val="both"/>
        <w:rPr>
          <w:sz w:val="26"/>
        </w:rPr>
      </w:pPr>
      <w:r w:rsidRPr="00861208">
        <w:rPr>
          <w:rFonts w:hint="cs"/>
          <w:b/>
          <w:bCs/>
          <w:sz w:val="26"/>
          <w:u w:val="single"/>
          <w:rtl/>
        </w:rPr>
        <w:t>סעיף 11 לנוסח המוצע</w:t>
      </w:r>
      <w:r>
        <w:rPr>
          <w:rFonts w:hint="cs"/>
          <w:sz w:val="26"/>
          <w:rtl/>
        </w:rPr>
        <w:t xml:space="preserve"> </w:t>
      </w:r>
      <w:r>
        <w:rPr>
          <w:sz w:val="26"/>
          <w:rtl/>
        </w:rPr>
        <w:t>–</w:t>
      </w:r>
      <w:r>
        <w:rPr>
          <w:rFonts w:hint="cs"/>
          <w:sz w:val="26"/>
          <w:rtl/>
        </w:rPr>
        <w:t xml:space="preserve"> עניינו באגרה השנתית אותה חייב בעל רישיון לראיית חשבון לשלם ובתוספות אותן ניתן להטיל בגין איחור בתשלום. </w:t>
      </w:r>
      <w:r w:rsidR="00F1582C">
        <w:rPr>
          <w:rFonts w:hint="cs"/>
          <w:sz w:val="26"/>
          <w:rtl/>
        </w:rPr>
        <w:t>מוצע להגביל את סכומי הריביות אשר יוטלו בגין איחור ו</w:t>
      </w:r>
      <w:r w:rsidR="00B11C64">
        <w:rPr>
          <w:rFonts w:hint="cs"/>
          <w:sz w:val="26"/>
          <w:rtl/>
        </w:rPr>
        <w:t xml:space="preserve">לשנות </w:t>
      </w:r>
      <w:r w:rsidR="00F1582C">
        <w:rPr>
          <w:rFonts w:hint="cs"/>
          <w:sz w:val="26"/>
          <w:rtl/>
        </w:rPr>
        <w:t>את המועדים לגביהם מחושבת הריבית</w:t>
      </w:r>
      <w:r w:rsidR="00B11C64">
        <w:rPr>
          <w:rFonts w:hint="cs"/>
          <w:sz w:val="26"/>
          <w:rtl/>
        </w:rPr>
        <w:t xml:space="preserve">. כן מוצע לקבוע כי אי תשלום אגרה שנתית תיחשב עבירת משמעת. מאידך לא </w:t>
      </w:r>
      <w:r w:rsidR="00F955C9">
        <w:rPr>
          <w:rFonts w:hint="cs"/>
          <w:sz w:val="26"/>
          <w:rtl/>
        </w:rPr>
        <w:t xml:space="preserve">ייקבע </w:t>
      </w:r>
      <w:r w:rsidR="00B11C64">
        <w:rPr>
          <w:rFonts w:hint="cs"/>
          <w:sz w:val="26"/>
          <w:rtl/>
        </w:rPr>
        <w:t>איסור לעסוק במקצוע בשל אי תשלום האגרה</w:t>
      </w:r>
      <w:r w:rsidR="00A96DB5">
        <w:rPr>
          <w:rFonts w:hint="cs"/>
          <w:sz w:val="26"/>
          <w:rtl/>
        </w:rPr>
        <w:t xml:space="preserve"> לאור הפגיעה בחופש העיסוק של בעל המקצוע</w:t>
      </w:r>
      <w:r w:rsidR="00B11C64">
        <w:rPr>
          <w:rFonts w:hint="cs"/>
          <w:sz w:val="26"/>
          <w:rtl/>
        </w:rPr>
        <w:t xml:space="preserve">. </w:t>
      </w:r>
    </w:p>
    <w:p w:rsidR="009F6EF5" w:rsidRDefault="009F6EF5" w:rsidP="009F6EF5">
      <w:pPr>
        <w:pStyle w:val="TableSideHeading"/>
        <w:jc w:val="both"/>
        <w:rPr>
          <w:sz w:val="26"/>
        </w:rPr>
      </w:pPr>
    </w:p>
    <w:p w:rsidR="00466659" w:rsidRDefault="00466659" w:rsidP="00F955C9">
      <w:pPr>
        <w:pStyle w:val="TableSideHeading"/>
        <w:numPr>
          <w:ilvl w:val="0"/>
          <w:numId w:val="1"/>
        </w:numPr>
        <w:jc w:val="both"/>
        <w:rPr>
          <w:sz w:val="26"/>
        </w:rPr>
      </w:pPr>
      <w:r w:rsidRPr="00466659">
        <w:rPr>
          <w:rFonts w:hint="cs"/>
          <w:b/>
          <w:bCs/>
          <w:sz w:val="26"/>
          <w:u w:val="single"/>
          <w:rtl/>
        </w:rPr>
        <w:t>סעיף 12 לנוסח המוצע</w:t>
      </w:r>
      <w:r>
        <w:rPr>
          <w:rFonts w:hint="cs"/>
          <w:sz w:val="26"/>
          <w:rtl/>
        </w:rPr>
        <w:t xml:space="preserve"> </w:t>
      </w:r>
      <w:r w:rsidR="003E41E1">
        <w:rPr>
          <w:sz w:val="26"/>
          <w:rtl/>
        </w:rPr>
        <w:t>–</w:t>
      </w:r>
      <w:r>
        <w:rPr>
          <w:rFonts w:hint="cs"/>
          <w:sz w:val="26"/>
          <w:rtl/>
        </w:rPr>
        <w:t xml:space="preserve"> </w:t>
      </w:r>
      <w:r w:rsidR="003E41E1">
        <w:rPr>
          <w:rFonts w:hint="cs"/>
          <w:sz w:val="26"/>
          <w:rtl/>
        </w:rPr>
        <w:t xml:space="preserve">סעיף 6 לחוק רואי החשבון קובע מה תהיה התעסקות בלתי מוסמכת בראיית חשבון. מוצע להוסיף את הקביעה לפיה מי שרישיונו </w:t>
      </w:r>
      <w:proofErr w:type="spellStart"/>
      <w:r w:rsidR="003E41E1">
        <w:rPr>
          <w:rFonts w:hint="cs"/>
          <w:sz w:val="26"/>
          <w:rtl/>
        </w:rPr>
        <w:t>הותלה</w:t>
      </w:r>
      <w:proofErr w:type="spellEnd"/>
      <w:r w:rsidR="003E41E1">
        <w:rPr>
          <w:rFonts w:hint="cs"/>
          <w:sz w:val="26"/>
          <w:rtl/>
        </w:rPr>
        <w:t xml:space="preserve"> לא יראו אותו בעל רישיון ועל כן עיסוקו בראיית חשבון בעת התלייה יהיה בניגוד להוראות החוק. </w:t>
      </w:r>
    </w:p>
    <w:p w:rsidR="003E41E1" w:rsidRDefault="003E41E1" w:rsidP="003E41E1">
      <w:pPr>
        <w:pStyle w:val="a3"/>
        <w:rPr>
          <w:sz w:val="26"/>
          <w:rtl/>
        </w:rPr>
      </w:pPr>
    </w:p>
    <w:p w:rsidR="003E41E1" w:rsidRDefault="003D31BB" w:rsidP="003D31BB">
      <w:pPr>
        <w:pStyle w:val="TableSideHeading"/>
        <w:numPr>
          <w:ilvl w:val="0"/>
          <w:numId w:val="1"/>
        </w:numPr>
        <w:jc w:val="both"/>
        <w:rPr>
          <w:sz w:val="26"/>
        </w:rPr>
      </w:pPr>
      <w:r w:rsidRPr="003D31BB">
        <w:rPr>
          <w:rFonts w:hint="cs"/>
          <w:b/>
          <w:bCs/>
          <w:sz w:val="26"/>
          <w:u w:val="single"/>
          <w:rtl/>
        </w:rPr>
        <w:t>סעיף 18 לנוסח המוצע</w:t>
      </w:r>
      <w:r>
        <w:rPr>
          <w:rFonts w:hint="cs"/>
          <w:sz w:val="26"/>
          <w:rtl/>
        </w:rPr>
        <w:t xml:space="preserve"> </w:t>
      </w:r>
      <w:r>
        <w:rPr>
          <w:sz w:val="26"/>
          <w:rtl/>
        </w:rPr>
        <w:t>–</w:t>
      </w:r>
      <w:r>
        <w:rPr>
          <w:rFonts w:hint="cs"/>
          <w:sz w:val="26"/>
          <w:rtl/>
        </w:rPr>
        <w:t xml:space="preserve"> הוא סעיף העונשין ובו מוצע לקבוע מדרג של עבירות ולפיו מי שעסק בראיית חשבון ללא רישיון או בעת שהרישיון היה </w:t>
      </w:r>
      <w:proofErr w:type="spellStart"/>
      <w:r>
        <w:rPr>
          <w:rFonts w:hint="cs"/>
          <w:sz w:val="26"/>
          <w:rtl/>
        </w:rPr>
        <w:t>מותלה</w:t>
      </w:r>
      <w:proofErr w:type="spellEnd"/>
      <w:r>
        <w:rPr>
          <w:rFonts w:hint="cs"/>
          <w:sz w:val="26"/>
          <w:rtl/>
        </w:rPr>
        <w:t xml:space="preserve"> </w:t>
      </w:r>
      <w:r>
        <w:rPr>
          <w:sz w:val="26"/>
          <w:rtl/>
        </w:rPr>
        <w:t>–</w:t>
      </w:r>
      <w:r>
        <w:rPr>
          <w:rFonts w:hint="cs"/>
          <w:sz w:val="26"/>
          <w:rtl/>
        </w:rPr>
        <w:t xml:space="preserve"> יהיה דינו קנס ואילו על התחזות לרואה חשבון יוטל עונש של מאסר ששה חודשים או קנס. הסעיף המוצע בא לשנות את הוראות סעיף 7 הקיים לחוק רואי חשבון ולפיו כל פעולה ללא רישיון או התחזות דינה מאסר ששה חודשים או קנס של אלף לירות </w:t>
      </w:r>
      <w:r>
        <w:rPr>
          <w:sz w:val="26"/>
          <w:rtl/>
        </w:rPr>
        <w:t>–</w:t>
      </w:r>
      <w:r>
        <w:rPr>
          <w:rFonts w:hint="cs"/>
          <w:sz w:val="26"/>
          <w:rtl/>
        </w:rPr>
        <w:t xml:space="preserve"> או שניהם. </w:t>
      </w:r>
    </w:p>
    <w:p w:rsidR="00785265" w:rsidRDefault="00785265" w:rsidP="00785265">
      <w:pPr>
        <w:pStyle w:val="a3"/>
        <w:rPr>
          <w:sz w:val="26"/>
          <w:rtl/>
        </w:rPr>
      </w:pPr>
    </w:p>
    <w:p w:rsidR="00785265" w:rsidRDefault="008E4EA5" w:rsidP="003D31BB">
      <w:pPr>
        <w:pStyle w:val="TableSideHeading"/>
        <w:numPr>
          <w:ilvl w:val="0"/>
          <w:numId w:val="1"/>
        </w:numPr>
        <w:jc w:val="both"/>
        <w:rPr>
          <w:sz w:val="26"/>
        </w:rPr>
      </w:pPr>
      <w:r w:rsidRPr="008E4EA5">
        <w:rPr>
          <w:rFonts w:hint="cs"/>
          <w:b/>
          <w:bCs/>
          <w:sz w:val="26"/>
          <w:u w:val="single"/>
          <w:rtl/>
        </w:rPr>
        <w:t>סעיף 24 לנוסח המוצע</w:t>
      </w:r>
      <w:r>
        <w:rPr>
          <w:rFonts w:hint="cs"/>
          <w:sz w:val="26"/>
          <w:rtl/>
        </w:rPr>
        <w:t xml:space="preserve"> </w:t>
      </w:r>
      <w:r>
        <w:rPr>
          <w:sz w:val="26"/>
          <w:rtl/>
        </w:rPr>
        <w:t>–</w:t>
      </w:r>
      <w:r>
        <w:rPr>
          <w:rFonts w:hint="cs"/>
          <w:sz w:val="26"/>
          <w:rtl/>
        </w:rPr>
        <w:t xml:space="preserve"> מבקש להסמיך את המועצה לתת חוות דעת מקדימה בעניין ניגוד עניינים ואי תלות וכן דרכי פעולה וכללי התנהגות של רואי חשבון ומתמחים בראיית חשבון, בדומה לסמכות הנתונה כיום לוועדות האתיקה של לשכת עורכי הדין. עם מעבר סמכות השיפוט בעבירות משמעת מהמועצה לוועדת המשמעת החדשה שתקום, מוצע להעניק למועצה תפקיד חדש בתחומי האתיקה המקצועית של רואי החשבון והמתמחים</w:t>
      </w:r>
      <w:r w:rsidR="00353713">
        <w:rPr>
          <w:rFonts w:hint="cs"/>
          <w:sz w:val="26"/>
          <w:rtl/>
        </w:rPr>
        <w:t xml:space="preserve"> אשר יביא לידי ביטוי את מומחיות חברי המועצה ואת ניסיונם בתחום. </w:t>
      </w:r>
      <w:r w:rsidR="00C73EB8">
        <w:rPr>
          <w:rFonts w:hint="cs"/>
          <w:sz w:val="26"/>
          <w:rtl/>
        </w:rPr>
        <w:t xml:space="preserve">חוות הדעת ישמשו כלי ומנחה לכלל רואי החשבון ויסייעו בפיתוח דיני האתיקה המקצועית. מוצע להקנות הגנה מהגשת קובלנה לוועדת המשמעת למי שפעלו בהתאם לחוות דעת מקדימה של המועצה. </w:t>
      </w:r>
    </w:p>
    <w:p w:rsidR="004D0D89" w:rsidRDefault="004D0D89" w:rsidP="004D0D89">
      <w:pPr>
        <w:pStyle w:val="a3"/>
        <w:rPr>
          <w:sz w:val="26"/>
          <w:rtl/>
        </w:rPr>
      </w:pPr>
    </w:p>
    <w:p w:rsidR="004D0D89" w:rsidRDefault="004D0D89" w:rsidP="004D0D89">
      <w:pPr>
        <w:pStyle w:val="TableSideHeading"/>
        <w:jc w:val="both"/>
        <w:rPr>
          <w:sz w:val="26"/>
          <w:rtl/>
        </w:rPr>
      </w:pPr>
    </w:p>
    <w:p w:rsidR="004D0D89" w:rsidRDefault="004D0D89" w:rsidP="004D0D89">
      <w:pPr>
        <w:pStyle w:val="TableSideHeading"/>
        <w:jc w:val="both"/>
        <w:rPr>
          <w:sz w:val="26"/>
        </w:rPr>
      </w:pPr>
    </w:p>
    <w:p w:rsidR="00A21777" w:rsidRDefault="00A21777" w:rsidP="00A21777">
      <w:pPr>
        <w:pStyle w:val="a3"/>
        <w:rPr>
          <w:sz w:val="26"/>
          <w:rtl/>
        </w:rPr>
      </w:pPr>
    </w:p>
    <w:p w:rsidR="004D0D89" w:rsidRDefault="00C54652" w:rsidP="00C54652">
      <w:pPr>
        <w:pStyle w:val="TableSideHeading"/>
        <w:numPr>
          <w:ilvl w:val="0"/>
          <w:numId w:val="1"/>
        </w:numPr>
        <w:jc w:val="both"/>
        <w:rPr>
          <w:sz w:val="26"/>
        </w:rPr>
      </w:pPr>
      <w:r w:rsidRPr="00C54652">
        <w:rPr>
          <w:rFonts w:hint="cs"/>
          <w:b/>
          <w:bCs/>
          <w:sz w:val="26"/>
          <w:u w:val="single"/>
          <w:rtl/>
        </w:rPr>
        <w:lastRenderedPageBreak/>
        <w:t>סעיף 25 לנוסח המוצע</w:t>
      </w:r>
      <w:r>
        <w:rPr>
          <w:rFonts w:hint="cs"/>
          <w:sz w:val="26"/>
          <w:rtl/>
        </w:rPr>
        <w:t xml:space="preserve"> </w:t>
      </w:r>
      <w:r>
        <w:rPr>
          <w:sz w:val="26"/>
          <w:rtl/>
        </w:rPr>
        <w:t>–</w:t>
      </w:r>
      <w:r>
        <w:rPr>
          <w:rFonts w:hint="cs"/>
          <w:sz w:val="26"/>
          <w:rtl/>
        </w:rPr>
        <w:t xml:space="preserve"> </w:t>
      </w:r>
      <w:r w:rsidRPr="00C54652">
        <w:rPr>
          <w:rFonts w:hint="cs"/>
          <w:b/>
          <w:bCs/>
          <w:sz w:val="26"/>
          <w:u w:val="single"/>
          <w:rtl/>
        </w:rPr>
        <w:t>הוא ליבת הצעת החוק ועוסק בהסדרת עבירות המשמעת וועדת המשמעת</w:t>
      </w:r>
      <w:r>
        <w:rPr>
          <w:rFonts w:hint="cs"/>
          <w:sz w:val="26"/>
          <w:rtl/>
        </w:rPr>
        <w:t xml:space="preserve">.  </w:t>
      </w:r>
    </w:p>
    <w:p w:rsidR="004D0D89" w:rsidRDefault="009B3182" w:rsidP="0023611B">
      <w:pPr>
        <w:pStyle w:val="a3"/>
        <w:spacing w:after="0" w:line="360" w:lineRule="auto"/>
        <w:ind w:left="-907"/>
        <w:jc w:val="both"/>
        <w:rPr>
          <w:rFonts w:cs="David"/>
          <w:sz w:val="26"/>
          <w:szCs w:val="26"/>
          <w:rtl/>
        </w:rPr>
      </w:pPr>
      <w:r w:rsidRPr="009B3182">
        <w:rPr>
          <w:rFonts w:cs="David" w:hint="cs"/>
          <w:sz w:val="26"/>
          <w:szCs w:val="26"/>
          <w:rtl/>
        </w:rPr>
        <w:t>מוצע מודל עדכני</w:t>
      </w:r>
      <w:r>
        <w:rPr>
          <w:rFonts w:cs="David" w:hint="cs"/>
          <w:sz w:val="26"/>
          <w:szCs w:val="26"/>
          <w:rtl/>
        </w:rPr>
        <w:t xml:space="preserve">, התואם את </w:t>
      </w:r>
      <w:r w:rsidR="00D72AC1">
        <w:rPr>
          <w:rFonts w:cs="David" w:hint="cs"/>
          <w:sz w:val="26"/>
          <w:szCs w:val="26"/>
          <w:rtl/>
        </w:rPr>
        <w:t>החקיקה הקיימת בתחום</w:t>
      </w:r>
      <w:r>
        <w:rPr>
          <w:rFonts w:cs="David" w:hint="cs"/>
          <w:sz w:val="26"/>
          <w:szCs w:val="26"/>
          <w:rtl/>
        </w:rPr>
        <w:t>, המסדיר את הקמת ועדת המשמעת</w:t>
      </w:r>
      <w:r w:rsidR="005F5EC3">
        <w:rPr>
          <w:rFonts w:cs="David" w:hint="cs"/>
          <w:sz w:val="26"/>
          <w:szCs w:val="26"/>
          <w:rtl/>
        </w:rPr>
        <w:t xml:space="preserve"> וקובע, בין היתר, הסדרים שונים ובהם</w:t>
      </w:r>
      <w:r>
        <w:rPr>
          <w:rFonts w:cs="David" w:hint="cs"/>
          <w:sz w:val="26"/>
          <w:szCs w:val="26"/>
          <w:rtl/>
        </w:rPr>
        <w:t xml:space="preserve"> </w:t>
      </w:r>
      <w:r w:rsidR="00D72AC1">
        <w:rPr>
          <w:rFonts w:cs="David" w:hint="cs"/>
          <w:sz w:val="26"/>
          <w:szCs w:val="26"/>
          <w:rtl/>
        </w:rPr>
        <w:t xml:space="preserve">קביעת </w:t>
      </w:r>
      <w:r>
        <w:rPr>
          <w:rFonts w:cs="David" w:hint="cs"/>
          <w:sz w:val="26"/>
          <w:szCs w:val="26"/>
          <w:rtl/>
        </w:rPr>
        <w:t xml:space="preserve">סמכויותיה ותפקידיה </w:t>
      </w:r>
      <w:r w:rsidR="00D72AC1">
        <w:rPr>
          <w:rFonts w:cs="David" w:hint="cs"/>
          <w:sz w:val="26"/>
          <w:szCs w:val="26"/>
          <w:rtl/>
        </w:rPr>
        <w:t xml:space="preserve">של ועדת המשמעת </w:t>
      </w:r>
      <w:r>
        <w:rPr>
          <w:rFonts w:cs="David" w:hint="cs"/>
          <w:sz w:val="26"/>
          <w:szCs w:val="26"/>
          <w:rtl/>
        </w:rPr>
        <w:t xml:space="preserve">תוך שימת דגש על זכות העיון והעברת מידע למתלונן </w:t>
      </w:r>
      <w:proofErr w:type="spellStart"/>
      <w:r>
        <w:rPr>
          <w:rFonts w:cs="David" w:hint="cs"/>
          <w:sz w:val="26"/>
          <w:szCs w:val="26"/>
          <w:rtl/>
        </w:rPr>
        <w:t>ולנילון</w:t>
      </w:r>
      <w:proofErr w:type="spellEnd"/>
      <w:r>
        <w:rPr>
          <w:rFonts w:cs="David" w:hint="cs"/>
          <w:sz w:val="26"/>
          <w:szCs w:val="26"/>
          <w:rtl/>
        </w:rPr>
        <w:t xml:space="preserve">, מתן זכות טיעון </w:t>
      </w:r>
      <w:proofErr w:type="spellStart"/>
      <w:r>
        <w:rPr>
          <w:rFonts w:cs="David" w:hint="cs"/>
          <w:sz w:val="26"/>
          <w:szCs w:val="26"/>
          <w:rtl/>
        </w:rPr>
        <w:t>לנקבל</w:t>
      </w:r>
      <w:proofErr w:type="spellEnd"/>
      <w:r>
        <w:rPr>
          <w:rFonts w:cs="David" w:hint="cs"/>
          <w:sz w:val="26"/>
          <w:szCs w:val="26"/>
          <w:rtl/>
        </w:rPr>
        <w:t xml:space="preserve">, זכויות ערעור על החלטות ועדת המשמעת השונות, אופן פרסום החלטות ועדת המשמעת בשים לב לשמירה על הפרטיות ומניעת פגיעה שלא לצורך, סדרי דין וראיות והיקף תחולת השיפוט המשמעתי גם על מתמחים ועל משרדי רואי חשבון. </w:t>
      </w:r>
    </w:p>
    <w:p w:rsidR="009B3182" w:rsidRPr="009B3182" w:rsidRDefault="009B3182" w:rsidP="009B3182">
      <w:pPr>
        <w:pStyle w:val="a3"/>
        <w:spacing w:after="0" w:line="360" w:lineRule="auto"/>
        <w:ind w:left="-907"/>
        <w:jc w:val="both"/>
        <w:rPr>
          <w:rFonts w:cs="David"/>
          <w:sz w:val="26"/>
          <w:szCs w:val="26"/>
          <w:rtl/>
        </w:rPr>
      </w:pPr>
    </w:p>
    <w:p w:rsidR="00C54652" w:rsidRDefault="004D0D89" w:rsidP="004D0D89">
      <w:pPr>
        <w:pStyle w:val="TableSideHeading"/>
        <w:ind w:left="-973"/>
        <w:jc w:val="both"/>
        <w:rPr>
          <w:sz w:val="26"/>
        </w:rPr>
      </w:pPr>
      <w:r w:rsidRPr="004D0D89">
        <w:rPr>
          <w:rFonts w:hint="cs"/>
          <w:b/>
          <w:bCs/>
          <w:sz w:val="26"/>
          <w:u w:val="single"/>
          <w:rtl/>
        </w:rPr>
        <w:t>עבירת המשמעת</w:t>
      </w:r>
      <w:r>
        <w:rPr>
          <w:rFonts w:hint="cs"/>
          <w:sz w:val="26"/>
          <w:rtl/>
        </w:rPr>
        <w:t xml:space="preserve"> - </w:t>
      </w:r>
      <w:r w:rsidR="00C54652">
        <w:rPr>
          <w:rFonts w:hint="cs"/>
          <w:sz w:val="26"/>
          <w:rtl/>
        </w:rPr>
        <w:t>מוצע להגדיר מחדש את עבירות המשמעת בהתאם למקובל בחקיקה העדכנית ולקבוע את מדרג העבירות ואת אמצעי המשמעת אשר ניתן לנקוט כלפי מי שעובר עליהן.</w:t>
      </w:r>
    </w:p>
    <w:p w:rsidR="00C54652" w:rsidRDefault="00C54652" w:rsidP="00C54652">
      <w:pPr>
        <w:pStyle w:val="TableSideHeading"/>
        <w:ind w:left="-973"/>
        <w:jc w:val="both"/>
        <w:rPr>
          <w:sz w:val="26"/>
        </w:rPr>
      </w:pPr>
      <w:r>
        <w:rPr>
          <w:rFonts w:hint="cs"/>
          <w:sz w:val="26"/>
          <w:rtl/>
        </w:rPr>
        <w:t>מוצע לקבוע כי רואה חשבון שעשה אחד מאלה עבר עבירת משמעת:</w:t>
      </w:r>
    </w:p>
    <w:p w:rsidR="00C54652" w:rsidRDefault="00C54652" w:rsidP="00C54652">
      <w:pPr>
        <w:pStyle w:val="TableSideHeading"/>
        <w:numPr>
          <w:ilvl w:val="0"/>
          <w:numId w:val="2"/>
        </w:numPr>
        <w:jc w:val="both"/>
        <w:rPr>
          <w:sz w:val="26"/>
        </w:rPr>
      </w:pPr>
      <w:r>
        <w:rPr>
          <w:rFonts w:hint="cs"/>
          <w:sz w:val="26"/>
          <w:rtl/>
        </w:rPr>
        <w:t>התנהגות בדרך שאינה הולמת את המקצוע;</w:t>
      </w:r>
    </w:p>
    <w:p w:rsidR="00C54652" w:rsidRDefault="00C54652" w:rsidP="00C54652">
      <w:pPr>
        <w:pStyle w:val="TableSideHeading"/>
        <w:numPr>
          <w:ilvl w:val="0"/>
          <w:numId w:val="2"/>
        </w:numPr>
        <w:jc w:val="both"/>
        <w:rPr>
          <w:sz w:val="26"/>
        </w:rPr>
      </w:pPr>
      <w:r>
        <w:rPr>
          <w:rFonts w:hint="cs"/>
          <w:sz w:val="26"/>
          <w:rtl/>
        </w:rPr>
        <w:t>הפרת כללי האתיקה או הוראה אחרת לפי החוק או לפי דין אחר;</w:t>
      </w:r>
    </w:p>
    <w:p w:rsidR="00C54652" w:rsidRDefault="00C54652" w:rsidP="00C54652">
      <w:pPr>
        <w:pStyle w:val="TableSideHeading"/>
        <w:numPr>
          <w:ilvl w:val="0"/>
          <w:numId w:val="2"/>
        </w:numPr>
        <w:jc w:val="both"/>
        <w:rPr>
          <w:sz w:val="26"/>
        </w:rPr>
      </w:pPr>
      <w:r>
        <w:rPr>
          <w:rFonts w:hint="cs"/>
          <w:sz w:val="26"/>
          <w:rtl/>
        </w:rPr>
        <w:t xml:space="preserve">השגת רישיון במצג </w:t>
      </w:r>
      <w:proofErr w:type="spellStart"/>
      <w:r>
        <w:rPr>
          <w:rFonts w:hint="cs"/>
          <w:sz w:val="26"/>
          <w:rtl/>
        </w:rPr>
        <w:t>שוא</w:t>
      </w:r>
      <w:proofErr w:type="spellEnd"/>
      <w:r>
        <w:rPr>
          <w:rFonts w:hint="cs"/>
          <w:sz w:val="26"/>
          <w:rtl/>
        </w:rPr>
        <w:t>;</w:t>
      </w:r>
    </w:p>
    <w:p w:rsidR="00C54652" w:rsidRDefault="00C54652" w:rsidP="00C54652">
      <w:pPr>
        <w:pStyle w:val="TableSideHeading"/>
        <w:numPr>
          <w:ilvl w:val="0"/>
          <w:numId w:val="2"/>
        </w:numPr>
        <w:jc w:val="both"/>
        <w:rPr>
          <w:sz w:val="26"/>
        </w:rPr>
      </w:pPr>
      <w:r>
        <w:rPr>
          <w:rFonts w:hint="cs"/>
          <w:sz w:val="26"/>
          <w:rtl/>
        </w:rPr>
        <w:t>חוסר אחריות או רשלנות חמורה בעת העיסוק;</w:t>
      </w:r>
    </w:p>
    <w:p w:rsidR="00C54652" w:rsidRDefault="00C54652" w:rsidP="00C54652">
      <w:pPr>
        <w:pStyle w:val="TableSideHeading"/>
        <w:numPr>
          <w:ilvl w:val="0"/>
          <w:numId w:val="2"/>
        </w:numPr>
        <w:jc w:val="both"/>
        <w:rPr>
          <w:sz w:val="26"/>
        </w:rPr>
      </w:pPr>
      <w:r>
        <w:rPr>
          <w:rFonts w:hint="cs"/>
          <w:sz w:val="26"/>
          <w:rtl/>
        </w:rPr>
        <w:t>הרשעה בעבירה שמפאת מהותה, חומרתה או נסיבותיה אין הוא יכלו לעסוק בראיית חשבון;</w:t>
      </w:r>
    </w:p>
    <w:p w:rsidR="00C54652" w:rsidRDefault="00C54652" w:rsidP="00C54652">
      <w:pPr>
        <w:pStyle w:val="TableSideHeading"/>
        <w:numPr>
          <w:ilvl w:val="0"/>
          <w:numId w:val="2"/>
        </w:numPr>
        <w:jc w:val="both"/>
        <w:rPr>
          <w:sz w:val="26"/>
        </w:rPr>
      </w:pPr>
      <w:r>
        <w:rPr>
          <w:rFonts w:hint="cs"/>
          <w:sz w:val="26"/>
          <w:rtl/>
        </w:rPr>
        <w:t>אי נקיטת אמצעים למניעת אי תלות.</w:t>
      </w:r>
    </w:p>
    <w:p w:rsidR="00C67B58" w:rsidRDefault="00C67B58" w:rsidP="000C3FEB">
      <w:pPr>
        <w:pStyle w:val="TableSideHeading"/>
        <w:ind w:hanging="908"/>
        <w:jc w:val="both"/>
        <w:rPr>
          <w:b/>
          <w:bCs/>
          <w:sz w:val="26"/>
          <w:u w:val="single"/>
          <w:rtl/>
        </w:rPr>
      </w:pPr>
    </w:p>
    <w:p w:rsidR="00C54652" w:rsidRDefault="00C67B58" w:rsidP="00C67B58">
      <w:pPr>
        <w:pStyle w:val="TableSideHeading"/>
        <w:ind w:left="-908"/>
        <w:jc w:val="both"/>
        <w:rPr>
          <w:sz w:val="26"/>
          <w:rtl/>
        </w:rPr>
      </w:pPr>
      <w:r w:rsidRPr="00C67B58">
        <w:rPr>
          <w:rFonts w:hint="cs"/>
          <w:b/>
          <w:bCs/>
          <w:sz w:val="26"/>
          <w:u w:val="single"/>
          <w:rtl/>
        </w:rPr>
        <w:t>ועדת המשמעת</w:t>
      </w:r>
      <w:r>
        <w:rPr>
          <w:rFonts w:hint="cs"/>
          <w:sz w:val="26"/>
          <w:rtl/>
        </w:rPr>
        <w:t xml:space="preserve"> -  תמונה ע"י שר המשפטים ותהיה בת שלושה חברים כפי שמפורט בהצעה. מוצע לקבוע כי לא יתמנה כחבר מי שהורשע בעבירה פלילית או בעבירת משמעת שאינה מאפשרת מינויו לתפקיד או שהוא מצוי בניגוד עניינים תדיר בין ענייניו לתפקידו כחבר ועדת המשמעת. תקופה הכהונה בוועדה תהיה ל-4 שנים עם אפשרויות מינוי לתקופות נוספות. כן מוצעות הוראות נוספות לגבי הפסקת כהונה, אי תלות וגמול לחברי הוועדה. </w:t>
      </w:r>
    </w:p>
    <w:p w:rsidR="00D3508E" w:rsidRDefault="00D3508E" w:rsidP="00C67B58">
      <w:pPr>
        <w:pStyle w:val="TableSideHeading"/>
        <w:ind w:left="-908"/>
        <w:jc w:val="both"/>
        <w:rPr>
          <w:b/>
          <w:bCs/>
          <w:sz w:val="26"/>
          <w:u w:val="single"/>
          <w:rtl/>
        </w:rPr>
      </w:pPr>
    </w:p>
    <w:p w:rsidR="00C67B58" w:rsidRDefault="00C67B58" w:rsidP="00C67B58">
      <w:pPr>
        <w:pStyle w:val="TableSideHeading"/>
        <w:ind w:left="-908"/>
        <w:jc w:val="both"/>
        <w:rPr>
          <w:sz w:val="26"/>
          <w:rtl/>
        </w:rPr>
      </w:pPr>
      <w:r>
        <w:rPr>
          <w:rFonts w:hint="cs"/>
          <w:b/>
          <w:bCs/>
          <w:sz w:val="26"/>
          <w:u w:val="single"/>
          <w:rtl/>
        </w:rPr>
        <w:t xml:space="preserve">חוקר </w:t>
      </w:r>
      <w:r>
        <w:rPr>
          <w:sz w:val="26"/>
          <w:rtl/>
        </w:rPr>
        <w:t>–</w:t>
      </w:r>
      <w:r>
        <w:rPr>
          <w:rFonts w:hint="cs"/>
          <w:sz w:val="26"/>
          <w:rtl/>
        </w:rPr>
        <w:t xml:space="preserve"> מוצע לקבוע הפרדה בין בירור של תלונה או חשד לעבירת משמעת לבין ההחלטה על הגשת קובלנה וניהול ההליך המשמעתי </w:t>
      </w:r>
      <w:r>
        <w:rPr>
          <w:sz w:val="26"/>
          <w:rtl/>
        </w:rPr>
        <w:t>–</w:t>
      </w:r>
      <w:r>
        <w:rPr>
          <w:rFonts w:hint="cs"/>
          <w:sz w:val="26"/>
          <w:rtl/>
        </w:rPr>
        <w:t xml:space="preserve"> בדומה להליך הפלילי. ולכן מוצע כי תלונה שתוגש למועצה תתברר ע"י חוקר, שיהיה עובד המדינה בעל השכלה אקדמית בחשבונאות אותו יסמיך השר, אשר יהיה בעל סמכויות חקירה לפי חוק, יפעיל לפי הנחיות התובע ויגיש לו את ממצאי חקירתו</w:t>
      </w:r>
      <w:r w:rsidR="00352B69">
        <w:rPr>
          <w:rFonts w:hint="cs"/>
          <w:sz w:val="26"/>
          <w:rtl/>
        </w:rPr>
        <w:t>.</w:t>
      </w:r>
    </w:p>
    <w:p w:rsidR="00352B69" w:rsidRDefault="00352B69" w:rsidP="00C67B58">
      <w:pPr>
        <w:pStyle w:val="TableSideHeading"/>
        <w:ind w:left="-908"/>
        <w:jc w:val="both"/>
        <w:rPr>
          <w:sz w:val="26"/>
          <w:rtl/>
        </w:rPr>
      </w:pPr>
    </w:p>
    <w:p w:rsidR="00352B69" w:rsidRDefault="00352B69" w:rsidP="00C67B58">
      <w:pPr>
        <w:pStyle w:val="TableSideHeading"/>
        <w:ind w:left="-908"/>
        <w:jc w:val="both"/>
        <w:rPr>
          <w:sz w:val="26"/>
          <w:rtl/>
        </w:rPr>
      </w:pPr>
      <w:r w:rsidRPr="00352B69">
        <w:rPr>
          <w:rFonts w:hint="cs"/>
          <w:b/>
          <w:bCs/>
          <w:sz w:val="26"/>
          <w:u w:val="single"/>
          <w:rtl/>
        </w:rPr>
        <w:t xml:space="preserve">תובע </w:t>
      </w:r>
      <w:r>
        <w:rPr>
          <w:sz w:val="26"/>
          <w:rtl/>
        </w:rPr>
        <w:t>–</w:t>
      </w:r>
      <w:r>
        <w:rPr>
          <w:rFonts w:hint="cs"/>
          <w:sz w:val="26"/>
          <w:rtl/>
        </w:rPr>
        <w:t xml:space="preserve"> ההליך שיתנהל לפני ועדת המשמעת יהיה הליך אדברסרי. מוצע כי ההליכים יפתחו בקובלנה נגד רואה חשבון אותה יגיש תובע. התובע יהיה עורך דין, עובד המדינה, שיוסמך ע"י היועץ המשפטי לממשלה. לתובע יהיה שיקול דעת בנוגע להגשת הקובלנה או לאי הגשתה בשל חוסר ענין לציבור. התובע פועל ומסתייע בחוקר ורשאי לתת לחוקר הוראות והנחיות לצורך בירור הקובלנה. </w:t>
      </w:r>
    </w:p>
    <w:p w:rsidR="00561D9C" w:rsidRDefault="00561D9C" w:rsidP="00C67B58">
      <w:pPr>
        <w:pStyle w:val="TableSideHeading"/>
        <w:ind w:left="-908"/>
        <w:jc w:val="both"/>
        <w:rPr>
          <w:sz w:val="26"/>
          <w:rtl/>
        </w:rPr>
      </w:pPr>
    </w:p>
    <w:p w:rsidR="00561D9C" w:rsidRDefault="00561D9C" w:rsidP="00C67B58">
      <w:pPr>
        <w:pStyle w:val="TableSideHeading"/>
        <w:ind w:left="-908"/>
        <w:jc w:val="both"/>
        <w:rPr>
          <w:sz w:val="26"/>
          <w:rtl/>
        </w:rPr>
      </w:pPr>
      <w:r w:rsidRPr="009542A5">
        <w:rPr>
          <w:rFonts w:hint="cs"/>
          <w:b/>
          <w:bCs/>
          <w:sz w:val="26"/>
          <w:u w:val="single"/>
          <w:rtl/>
        </w:rPr>
        <w:lastRenderedPageBreak/>
        <w:t>הדיון בוועדת המשמעת</w:t>
      </w:r>
      <w:r>
        <w:rPr>
          <w:rFonts w:hint="cs"/>
          <w:sz w:val="26"/>
          <w:rtl/>
        </w:rPr>
        <w:t xml:space="preserve"> </w:t>
      </w:r>
      <w:r>
        <w:rPr>
          <w:sz w:val="26"/>
          <w:rtl/>
        </w:rPr>
        <w:t>–</w:t>
      </w:r>
      <w:r>
        <w:rPr>
          <w:rFonts w:hint="cs"/>
          <w:sz w:val="26"/>
          <w:rtl/>
        </w:rPr>
        <w:t xml:space="preserve"> יתקיים בנוכחות הצדדים אלא</w:t>
      </w:r>
      <w:r w:rsidR="009542A5">
        <w:rPr>
          <w:rFonts w:hint="cs"/>
          <w:sz w:val="26"/>
          <w:rtl/>
        </w:rPr>
        <w:t xml:space="preserve"> אם נקבע אחרת. כן נקבעו הוראות </w:t>
      </w:r>
      <w:proofErr w:type="spellStart"/>
      <w:r w:rsidR="009542A5">
        <w:rPr>
          <w:rFonts w:hint="cs"/>
          <w:sz w:val="26"/>
          <w:rtl/>
        </w:rPr>
        <w:t>לענין</w:t>
      </w:r>
      <w:proofErr w:type="spellEnd"/>
      <w:r w:rsidR="009542A5">
        <w:rPr>
          <w:rFonts w:hint="cs"/>
          <w:sz w:val="26"/>
          <w:rtl/>
        </w:rPr>
        <w:t xml:space="preserve"> פומביות הדיון ומתן זכות טיעון </w:t>
      </w:r>
      <w:proofErr w:type="spellStart"/>
      <w:r w:rsidR="009542A5">
        <w:rPr>
          <w:rFonts w:hint="cs"/>
          <w:sz w:val="26"/>
          <w:rtl/>
        </w:rPr>
        <w:t>לנקבל</w:t>
      </w:r>
      <w:proofErr w:type="spellEnd"/>
      <w:r w:rsidR="009542A5">
        <w:rPr>
          <w:rFonts w:hint="cs"/>
          <w:sz w:val="26"/>
          <w:rtl/>
        </w:rPr>
        <w:t xml:space="preserve"> בפני הועדה. מוצע לקבוע הוראות </w:t>
      </w:r>
      <w:proofErr w:type="spellStart"/>
      <w:r w:rsidR="009542A5">
        <w:rPr>
          <w:rFonts w:hint="cs"/>
          <w:sz w:val="26"/>
          <w:rtl/>
        </w:rPr>
        <w:t>לענין</w:t>
      </w:r>
      <w:proofErr w:type="spellEnd"/>
      <w:r w:rsidR="009542A5">
        <w:rPr>
          <w:rFonts w:hint="cs"/>
          <w:sz w:val="26"/>
          <w:rtl/>
        </w:rPr>
        <w:t xml:space="preserve"> סדרי עבודת הועדה בישיבותיה והוראות </w:t>
      </w:r>
      <w:proofErr w:type="spellStart"/>
      <w:r w:rsidR="009542A5">
        <w:rPr>
          <w:rFonts w:hint="cs"/>
          <w:sz w:val="26"/>
          <w:rtl/>
        </w:rPr>
        <w:t>לענין</w:t>
      </w:r>
      <w:proofErr w:type="spellEnd"/>
      <w:r w:rsidR="009542A5">
        <w:rPr>
          <w:rFonts w:hint="cs"/>
          <w:sz w:val="26"/>
          <w:rtl/>
        </w:rPr>
        <w:t xml:space="preserve"> מותב חסר ומותב קטוע, פסלות חבר ועדת המשמעת ולהקנות לוועדה סמכויות עזר לזמן אדם להעיד בפניה, להזהיר ולהשביע עדים וכד'. </w:t>
      </w:r>
    </w:p>
    <w:p w:rsidR="009B1247" w:rsidRDefault="009B1247" w:rsidP="00C67B58">
      <w:pPr>
        <w:pStyle w:val="TableSideHeading"/>
        <w:ind w:left="-908"/>
        <w:jc w:val="both"/>
        <w:rPr>
          <w:sz w:val="26"/>
          <w:rtl/>
        </w:rPr>
      </w:pPr>
    </w:p>
    <w:p w:rsidR="009B1247" w:rsidRDefault="009B1247" w:rsidP="00D72AC1">
      <w:pPr>
        <w:pStyle w:val="TableSideHeading"/>
        <w:ind w:left="-908"/>
        <w:jc w:val="both"/>
        <w:rPr>
          <w:sz w:val="26"/>
          <w:rtl/>
        </w:rPr>
      </w:pPr>
      <w:r w:rsidRPr="009B1247">
        <w:rPr>
          <w:rFonts w:hint="cs"/>
          <w:b/>
          <w:bCs/>
          <w:sz w:val="26"/>
          <w:u w:val="single"/>
          <w:rtl/>
        </w:rPr>
        <w:t>אמצעי המשמעת</w:t>
      </w:r>
      <w:r>
        <w:rPr>
          <w:rFonts w:hint="cs"/>
          <w:sz w:val="26"/>
          <w:rtl/>
        </w:rPr>
        <w:t xml:space="preserve"> </w:t>
      </w:r>
      <w:r>
        <w:rPr>
          <w:sz w:val="26"/>
          <w:rtl/>
        </w:rPr>
        <w:t>–</w:t>
      </w:r>
      <w:r>
        <w:rPr>
          <w:rFonts w:hint="cs"/>
          <w:sz w:val="26"/>
          <w:rtl/>
        </w:rPr>
        <w:t xml:space="preserve"> מוצע לאפשר לו</w:t>
      </w:r>
      <w:r w:rsidR="00D72AC1">
        <w:rPr>
          <w:rFonts w:hint="cs"/>
          <w:sz w:val="26"/>
          <w:rtl/>
        </w:rPr>
        <w:t>ו</w:t>
      </w:r>
      <w:r>
        <w:rPr>
          <w:rFonts w:hint="cs"/>
          <w:sz w:val="26"/>
          <w:rtl/>
        </w:rPr>
        <w:t xml:space="preserve">עדת המשמעת </w:t>
      </w:r>
      <w:r w:rsidR="00D72AC1">
        <w:rPr>
          <w:rFonts w:hint="cs"/>
          <w:sz w:val="26"/>
          <w:rtl/>
        </w:rPr>
        <w:t>לנקוט באמצעי המשמעת</w:t>
      </w:r>
      <w:r>
        <w:rPr>
          <w:rFonts w:hint="cs"/>
          <w:sz w:val="26"/>
          <w:rtl/>
        </w:rPr>
        <w:t xml:space="preserve"> הבאים </w:t>
      </w:r>
      <w:r>
        <w:rPr>
          <w:sz w:val="26"/>
          <w:rtl/>
        </w:rPr>
        <w:t>–</w:t>
      </w:r>
      <w:r>
        <w:rPr>
          <w:rFonts w:hint="cs"/>
          <w:sz w:val="26"/>
          <w:rtl/>
        </w:rPr>
        <w:t xml:space="preserve"> </w:t>
      </w:r>
    </w:p>
    <w:p w:rsidR="009B1247" w:rsidRDefault="009B1247" w:rsidP="009B1247">
      <w:pPr>
        <w:pStyle w:val="TableSideHeading"/>
        <w:numPr>
          <w:ilvl w:val="0"/>
          <w:numId w:val="3"/>
        </w:numPr>
        <w:jc w:val="both"/>
        <w:rPr>
          <w:sz w:val="26"/>
        </w:rPr>
      </w:pPr>
      <w:r>
        <w:rPr>
          <w:rFonts w:hint="cs"/>
          <w:sz w:val="26"/>
          <w:rtl/>
        </w:rPr>
        <w:t>התראה;</w:t>
      </w:r>
    </w:p>
    <w:p w:rsidR="009B1247" w:rsidRDefault="009B1247" w:rsidP="009B1247">
      <w:pPr>
        <w:pStyle w:val="TableSideHeading"/>
        <w:numPr>
          <w:ilvl w:val="0"/>
          <w:numId w:val="3"/>
        </w:numPr>
        <w:jc w:val="both"/>
        <w:rPr>
          <w:sz w:val="26"/>
        </w:rPr>
      </w:pPr>
      <w:r>
        <w:rPr>
          <w:rFonts w:hint="cs"/>
          <w:sz w:val="26"/>
          <w:rtl/>
        </w:rPr>
        <w:t>נזיפה;</w:t>
      </w:r>
    </w:p>
    <w:p w:rsidR="009B1247" w:rsidRDefault="009B1247" w:rsidP="009B1247">
      <w:pPr>
        <w:pStyle w:val="TableSideHeading"/>
        <w:numPr>
          <w:ilvl w:val="0"/>
          <w:numId w:val="3"/>
        </w:numPr>
        <w:jc w:val="both"/>
        <w:rPr>
          <w:sz w:val="26"/>
        </w:rPr>
      </w:pPr>
      <w:r>
        <w:rPr>
          <w:rFonts w:hint="cs"/>
          <w:sz w:val="26"/>
          <w:rtl/>
        </w:rPr>
        <w:t>קנס בשיעור שנקבע;</w:t>
      </w:r>
    </w:p>
    <w:p w:rsidR="009B1247" w:rsidRDefault="009B1247" w:rsidP="009B1247">
      <w:pPr>
        <w:pStyle w:val="TableSideHeading"/>
        <w:numPr>
          <w:ilvl w:val="0"/>
          <w:numId w:val="3"/>
        </w:numPr>
        <w:jc w:val="both"/>
        <w:rPr>
          <w:sz w:val="26"/>
        </w:rPr>
      </w:pPr>
      <w:r>
        <w:rPr>
          <w:rFonts w:hint="cs"/>
          <w:sz w:val="26"/>
          <w:rtl/>
        </w:rPr>
        <w:t>התליית רישיון לתקופה של עד 5 שנים;</w:t>
      </w:r>
    </w:p>
    <w:p w:rsidR="00D72AC1" w:rsidRDefault="00D72AC1" w:rsidP="009B1247">
      <w:pPr>
        <w:pStyle w:val="TableSideHeading"/>
        <w:numPr>
          <w:ilvl w:val="0"/>
          <w:numId w:val="3"/>
        </w:numPr>
        <w:jc w:val="both"/>
        <w:rPr>
          <w:sz w:val="26"/>
        </w:rPr>
      </w:pPr>
      <w:r>
        <w:rPr>
          <w:rFonts w:hint="cs"/>
          <w:sz w:val="26"/>
          <w:rtl/>
        </w:rPr>
        <w:t>ביטול הרישיון.</w:t>
      </w:r>
    </w:p>
    <w:p w:rsidR="00D72AC1" w:rsidRDefault="00D72AC1" w:rsidP="00D72AC1">
      <w:pPr>
        <w:pStyle w:val="TableSideHeading"/>
        <w:ind w:left="-908"/>
        <w:jc w:val="both"/>
        <w:rPr>
          <w:sz w:val="26"/>
          <w:rtl/>
        </w:rPr>
      </w:pPr>
      <w:r>
        <w:rPr>
          <w:rFonts w:hint="cs"/>
          <w:sz w:val="26"/>
          <w:rtl/>
        </w:rPr>
        <w:t xml:space="preserve">כן מוצע להעניק לוועדת המשמעת אפשרות לקבוע אמצעי משמעת על תנאי, </w:t>
      </w:r>
      <w:proofErr w:type="spellStart"/>
      <w:r>
        <w:rPr>
          <w:rFonts w:hint="cs"/>
          <w:sz w:val="26"/>
          <w:rtl/>
        </w:rPr>
        <w:t>ליתן</w:t>
      </w:r>
      <w:proofErr w:type="spellEnd"/>
      <w:r>
        <w:rPr>
          <w:rFonts w:hint="cs"/>
          <w:sz w:val="26"/>
          <w:rtl/>
        </w:rPr>
        <w:t xml:space="preserve"> הוראות </w:t>
      </w:r>
      <w:proofErr w:type="spellStart"/>
      <w:r>
        <w:rPr>
          <w:rFonts w:hint="cs"/>
          <w:sz w:val="26"/>
          <w:rtl/>
        </w:rPr>
        <w:t>בענין</w:t>
      </w:r>
      <w:proofErr w:type="spellEnd"/>
      <w:r>
        <w:rPr>
          <w:rFonts w:hint="cs"/>
          <w:sz w:val="26"/>
          <w:rtl/>
        </w:rPr>
        <w:t xml:space="preserve"> אי תלות ולהתלות רישיון עד לסיום הליכי הדיון.</w:t>
      </w:r>
    </w:p>
    <w:p w:rsidR="00C54652" w:rsidRDefault="00C54652" w:rsidP="00C54652">
      <w:pPr>
        <w:pStyle w:val="TableSideHeading"/>
        <w:jc w:val="both"/>
        <w:rPr>
          <w:sz w:val="26"/>
          <w:rtl/>
        </w:rPr>
      </w:pPr>
    </w:p>
    <w:p w:rsidR="00C54652" w:rsidRPr="00C54652" w:rsidRDefault="00C54652" w:rsidP="00C54652">
      <w:pPr>
        <w:pStyle w:val="TableSideHeading"/>
        <w:ind w:hanging="908"/>
        <w:jc w:val="both"/>
        <w:rPr>
          <w:sz w:val="26"/>
          <w:rtl/>
        </w:rPr>
      </w:pPr>
    </w:p>
    <w:p w:rsidR="005218E6" w:rsidRDefault="005218E6" w:rsidP="004C39F9">
      <w:pPr>
        <w:spacing w:line="360" w:lineRule="auto"/>
      </w:pPr>
    </w:p>
    <w:sectPr w:rsidR="005218E6" w:rsidSect="00C71F1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DC402D"/>
    <w:multiLevelType w:val="hybridMultilevel"/>
    <w:tmpl w:val="01883624"/>
    <w:lvl w:ilvl="0" w:tplc="4AE6BEA2">
      <w:start w:val="1"/>
      <w:numFmt w:val="decimal"/>
      <w:lvlText w:val="%1."/>
      <w:lvlJc w:val="left"/>
      <w:pPr>
        <w:ind w:left="-973" w:hanging="360"/>
      </w:pPr>
      <w:rPr>
        <w:rFonts w:hint="default"/>
      </w:rPr>
    </w:lvl>
    <w:lvl w:ilvl="1" w:tplc="04090019" w:tentative="1">
      <w:start w:val="1"/>
      <w:numFmt w:val="lowerLetter"/>
      <w:lvlText w:val="%2."/>
      <w:lvlJc w:val="left"/>
      <w:pPr>
        <w:ind w:left="-253" w:hanging="360"/>
      </w:pPr>
    </w:lvl>
    <w:lvl w:ilvl="2" w:tplc="0409001B" w:tentative="1">
      <w:start w:val="1"/>
      <w:numFmt w:val="lowerRoman"/>
      <w:lvlText w:val="%3."/>
      <w:lvlJc w:val="right"/>
      <w:pPr>
        <w:ind w:left="467" w:hanging="180"/>
      </w:pPr>
    </w:lvl>
    <w:lvl w:ilvl="3" w:tplc="0409000F" w:tentative="1">
      <w:start w:val="1"/>
      <w:numFmt w:val="decimal"/>
      <w:lvlText w:val="%4."/>
      <w:lvlJc w:val="left"/>
      <w:pPr>
        <w:ind w:left="1187" w:hanging="360"/>
      </w:pPr>
    </w:lvl>
    <w:lvl w:ilvl="4" w:tplc="04090019" w:tentative="1">
      <w:start w:val="1"/>
      <w:numFmt w:val="lowerLetter"/>
      <w:lvlText w:val="%5."/>
      <w:lvlJc w:val="left"/>
      <w:pPr>
        <w:ind w:left="1907" w:hanging="360"/>
      </w:pPr>
    </w:lvl>
    <w:lvl w:ilvl="5" w:tplc="0409001B" w:tentative="1">
      <w:start w:val="1"/>
      <w:numFmt w:val="lowerRoman"/>
      <w:lvlText w:val="%6."/>
      <w:lvlJc w:val="right"/>
      <w:pPr>
        <w:ind w:left="2627" w:hanging="180"/>
      </w:pPr>
    </w:lvl>
    <w:lvl w:ilvl="6" w:tplc="0409000F" w:tentative="1">
      <w:start w:val="1"/>
      <w:numFmt w:val="decimal"/>
      <w:lvlText w:val="%7."/>
      <w:lvlJc w:val="left"/>
      <w:pPr>
        <w:ind w:left="3347" w:hanging="360"/>
      </w:pPr>
    </w:lvl>
    <w:lvl w:ilvl="7" w:tplc="04090019" w:tentative="1">
      <w:start w:val="1"/>
      <w:numFmt w:val="lowerLetter"/>
      <w:lvlText w:val="%8."/>
      <w:lvlJc w:val="left"/>
      <w:pPr>
        <w:ind w:left="4067" w:hanging="360"/>
      </w:pPr>
    </w:lvl>
    <w:lvl w:ilvl="8" w:tplc="0409001B" w:tentative="1">
      <w:start w:val="1"/>
      <w:numFmt w:val="lowerRoman"/>
      <w:lvlText w:val="%9."/>
      <w:lvlJc w:val="right"/>
      <w:pPr>
        <w:ind w:left="4787" w:hanging="180"/>
      </w:pPr>
    </w:lvl>
  </w:abstractNum>
  <w:abstractNum w:abstractNumId="1" w15:restartNumberingAfterBreak="0">
    <w:nsid w:val="69941FD1"/>
    <w:multiLevelType w:val="hybridMultilevel"/>
    <w:tmpl w:val="25C66020"/>
    <w:lvl w:ilvl="0" w:tplc="6540C682">
      <w:start w:val="1"/>
      <w:numFmt w:val="decimal"/>
      <w:lvlText w:val="%1."/>
      <w:lvlJc w:val="left"/>
      <w:pPr>
        <w:ind w:left="720" w:hanging="360"/>
      </w:pPr>
      <w:rPr>
        <w:rFonts w:ascii="Calibri" w:eastAsiaTheme="minorHAnsi" w:hAnsi="Calibri" w:cs="Times New Roman"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194855"/>
    <w:multiLevelType w:val="hybridMultilevel"/>
    <w:tmpl w:val="EA2E784C"/>
    <w:lvl w:ilvl="0" w:tplc="8CD20000">
      <w:start w:val="1"/>
      <w:numFmt w:val="decimal"/>
      <w:lvlText w:val="%1."/>
      <w:lvlJc w:val="left"/>
      <w:pPr>
        <w:ind w:left="-548" w:hanging="360"/>
      </w:pPr>
      <w:rPr>
        <w:rFonts w:hint="default"/>
        <w:b/>
        <w:u w:val="none"/>
      </w:rPr>
    </w:lvl>
    <w:lvl w:ilvl="1" w:tplc="04090019" w:tentative="1">
      <w:start w:val="1"/>
      <w:numFmt w:val="lowerLetter"/>
      <w:lvlText w:val="%2."/>
      <w:lvlJc w:val="left"/>
      <w:pPr>
        <w:ind w:left="172" w:hanging="360"/>
      </w:pPr>
    </w:lvl>
    <w:lvl w:ilvl="2" w:tplc="0409001B" w:tentative="1">
      <w:start w:val="1"/>
      <w:numFmt w:val="lowerRoman"/>
      <w:lvlText w:val="%3."/>
      <w:lvlJc w:val="right"/>
      <w:pPr>
        <w:ind w:left="892" w:hanging="180"/>
      </w:pPr>
    </w:lvl>
    <w:lvl w:ilvl="3" w:tplc="0409000F" w:tentative="1">
      <w:start w:val="1"/>
      <w:numFmt w:val="decimal"/>
      <w:lvlText w:val="%4."/>
      <w:lvlJc w:val="left"/>
      <w:pPr>
        <w:ind w:left="1612" w:hanging="360"/>
      </w:pPr>
    </w:lvl>
    <w:lvl w:ilvl="4" w:tplc="04090019" w:tentative="1">
      <w:start w:val="1"/>
      <w:numFmt w:val="lowerLetter"/>
      <w:lvlText w:val="%5."/>
      <w:lvlJc w:val="left"/>
      <w:pPr>
        <w:ind w:left="2332" w:hanging="360"/>
      </w:pPr>
    </w:lvl>
    <w:lvl w:ilvl="5" w:tplc="0409001B" w:tentative="1">
      <w:start w:val="1"/>
      <w:numFmt w:val="lowerRoman"/>
      <w:lvlText w:val="%6."/>
      <w:lvlJc w:val="right"/>
      <w:pPr>
        <w:ind w:left="3052" w:hanging="180"/>
      </w:pPr>
    </w:lvl>
    <w:lvl w:ilvl="6" w:tplc="0409000F" w:tentative="1">
      <w:start w:val="1"/>
      <w:numFmt w:val="decimal"/>
      <w:lvlText w:val="%7."/>
      <w:lvlJc w:val="left"/>
      <w:pPr>
        <w:ind w:left="3772" w:hanging="360"/>
      </w:pPr>
    </w:lvl>
    <w:lvl w:ilvl="7" w:tplc="04090019" w:tentative="1">
      <w:start w:val="1"/>
      <w:numFmt w:val="lowerLetter"/>
      <w:lvlText w:val="%8."/>
      <w:lvlJc w:val="left"/>
      <w:pPr>
        <w:ind w:left="4492" w:hanging="360"/>
      </w:pPr>
    </w:lvl>
    <w:lvl w:ilvl="8" w:tplc="0409001B" w:tentative="1">
      <w:start w:val="1"/>
      <w:numFmt w:val="lowerRoman"/>
      <w:lvlText w:val="%9."/>
      <w:lvlJc w:val="right"/>
      <w:pPr>
        <w:ind w:left="521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9F9"/>
    <w:rsid w:val="000C3FEB"/>
    <w:rsid w:val="000D70FC"/>
    <w:rsid w:val="00122189"/>
    <w:rsid w:val="0023611B"/>
    <w:rsid w:val="003473B6"/>
    <w:rsid w:val="00352B69"/>
    <w:rsid w:val="00353713"/>
    <w:rsid w:val="003632F2"/>
    <w:rsid w:val="003D31BB"/>
    <w:rsid w:val="003E41E1"/>
    <w:rsid w:val="00466659"/>
    <w:rsid w:val="0048744C"/>
    <w:rsid w:val="0049656E"/>
    <w:rsid w:val="004C39F9"/>
    <w:rsid w:val="004D0D89"/>
    <w:rsid w:val="005218E6"/>
    <w:rsid w:val="00561D9C"/>
    <w:rsid w:val="005F5EC3"/>
    <w:rsid w:val="00785265"/>
    <w:rsid w:val="00861208"/>
    <w:rsid w:val="008E4EA5"/>
    <w:rsid w:val="009542A5"/>
    <w:rsid w:val="009B1247"/>
    <w:rsid w:val="009B3182"/>
    <w:rsid w:val="009F6EF5"/>
    <w:rsid w:val="00A21777"/>
    <w:rsid w:val="00A96DB5"/>
    <w:rsid w:val="00B11C64"/>
    <w:rsid w:val="00B37DC1"/>
    <w:rsid w:val="00C54652"/>
    <w:rsid w:val="00C67B58"/>
    <w:rsid w:val="00C71F12"/>
    <w:rsid w:val="00C73EB8"/>
    <w:rsid w:val="00D3508E"/>
    <w:rsid w:val="00D513C5"/>
    <w:rsid w:val="00D72AC1"/>
    <w:rsid w:val="00E06131"/>
    <w:rsid w:val="00E71EBD"/>
    <w:rsid w:val="00F1582C"/>
    <w:rsid w:val="00F17D1E"/>
    <w:rsid w:val="00F955C9"/>
    <w:rsid w:val="00FE16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56A0B-199F-4CD9-8B4C-010C4B18D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39F9"/>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39F9"/>
    <w:pPr>
      <w:widowControl/>
      <w:autoSpaceDE/>
      <w:autoSpaceDN/>
      <w:adjustRightInd/>
      <w:spacing w:before="0" w:after="200" w:line="276" w:lineRule="auto"/>
      <w:ind w:left="720" w:firstLine="0"/>
      <w:contextualSpacing/>
      <w:jc w:val="left"/>
      <w:textAlignment w:val="auto"/>
    </w:pPr>
    <w:rPr>
      <w:rFonts w:ascii="Calibri" w:eastAsiaTheme="minorHAnsi" w:hAnsi="Calibri" w:cs="Times New Roman"/>
      <w:color w:val="auto"/>
      <w:spacing w:val="0"/>
      <w:sz w:val="22"/>
      <w:szCs w:val="22"/>
      <w:lang w:eastAsia="en-US"/>
    </w:rPr>
  </w:style>
  <w:style w:type="paragraph" w:customStyle="1" w:styleId="TableSideHeading">
    <w:name w:val="Table SideHeading"/>
    <w:basedOn w:val="a"/>
    <w:rsid w:val="004C39F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E2D425-4846-4F82-A738-5BAC1CD7593A}"/>
</file>

<file path=customXml/itemProps2.xml><?xml version="1.0" encoding="utf-8"?>
<ds:datastoreItem xmlns:ds="http://schemas.openxmlformats.org/officeDocument/2006/customXml" ds:itemID="{FE7BD584-7789-4802-BBC7-D238499586CF}"/>
</file>

<file path=customXml/itemProps3.xml><?xml version="1.0" encoding="utf-8"?>
<ds:datastoreItem xmlns:ds="http://schemas.openxmlformats.org/officeDocument/2006/customXml" ds:itemID="{CFF645F9-E4B0-429D-9E72-CD57F20EC05C}"/>
</file>

<file path=docProps/app.xml><?xml version="1.0" encoding="utf-8"?>
<Properties xmlns="http://schemas.openxmlformats.org/officeDocument/2006/extended-properties" xmlns:vt="http://schemas.openxmlformats.org/officeDocument/2006/docPropsVTypes">
  <Template>Normal</Template>
  <TotalTime>0</TotalTime>
  <Pages>4</Pages>
  <Words>1078</Words>
  <Characters>5390</Characters>
  <Application>Microsoft Office Word</Application>
  <DocSecurity>4</DocSecurity>
  <Lines>44</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ורד קירו זילברמן</dc:creator>
  <cp:keywords/>
  <dc:description/>
  <cp:lastModifiedBy>חופית עלפי</cp:lastModifiedBy>
  <cp:revision>2</cp:revision>
  <dcterms:created xsi:type="dcterms:W3CDTF">2018-02-01T07:29:00Z</dcterms:created>
  <dcterms:modified xsi:type="dcterms:W3CDTF">2018-02-01T07:29:00Z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2064844</vt:r8>
  </property>
</Properties>
</file>