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1AA" w:rsidRDefault="0080784B" w:rsidP="00E05294">
      <w:pPr>
        <w:spacing w:line="240" w:lineRule="auto"/>
        <w:jc w:val="center"/>
        <w:rPr>
          <w:rFonts w:cs="David"/>
          <w:b/>
          <w:bCs/>
          <w:sz w:val="24"/>
          <w:szCs w:val="24"/>
          <w:u w:val="single"/>
          <w:rtl/>
        </w:rPr>
      </w:pPr>
      <w:bookmarkStart w:id="0" w:name="_GoBack"/>
      <w:bookmarkEnd w:id="0"/>
      <w:r w:rsidRPr="0080784B">
        <w:rPr>
          <w:rFonts w:cs="David" w:hint="cs"/>
          <w:b/>
          <w:bCs/>
          <w:sz w:val="24"/>
          <w:szCs w:val="24"/>
          <w:u w:val="single"/>
          <w:rtl/>
        </w:rPr>
        <w:t xml:space="preserve">עמדת </w:t>
      </w:r>
      <w:r w:rsidR="00E05294">
        <w:rPr>
          <w:rFonts w:cs="David" w:hint="cs"/>
          <w:b/>
          <w:bCs/>
          <w:sz w:val="24"/>
          <w:szCs w:val="24"/>
          <w:u w:val="single"/>
          <w:rtl/>
        </w:rPr>
        <w:t>"</w:t>
      </w:r>
      <w:r w:rsidRPr="0080784B">
        <w:rPr>
          <w:rFonts w:cs="David" w:hint="cs"/>
          <w:b/>
          <w:bCs/>
          <w:sz w:val="24"/>
          <w:szCs w:val="24"/>
          <w:u w:val="single"/>
          <w:rtl/>
        </w:rPr>
        <w:t>יד לאישה</w:t>
      </w:r>
      <w:r w:rsidR="00E05294">
        <w:rPr>
          <w:rFonts w:cs="David" w:hint="cs"/>
          <w:b/>
          <w:bCs/>
          <w:sz w:val="24"/>
          <w:szCs w:val="24"/>
          <w:u w:val="single"/>
          <w:rtl/>
        </w:rPr>
        <w:t>"</w:t>
      </w:r>
      <w:r w:rsidRPr="0080784B">
        <w:rPr>
          <w:rFonts w:cs="David" w:hint="cs"/>
          <w:b/>
          <w:bCs/>
          <w:sz w:val="24"/>
          <w:szCs w:val="24"/>
          <w:u w:val="single"/>
          <w:rtl/>
        </w:rPr>
        <w:t xml:space="preserve"> בעני</w:t>
      </w:r>
      <w:r w:rsidR="00E05294">
        <w:rPr>
          <w:rFonts w:cs="David" w:hint="cs"/>
          <w:b/>
          <w:bCs/>
          <w:sz w:val="24"/>
          <w:szCs w:val="24"/>
          <w:u w:val="single"/>
          <w:rtl/>
        </w:rPr>
        <w:t>י</w:t>
      </w:r>
      <w:r w:rsidRPr="0080784B">
        <w:rPr>
          <w:rFonts w:cs="David" w:hint="cs"/>
          <w:b/>
          <w:bCs/>
          <w:sz w:val="24"/>
          <w:szCs w:val="24"/>
          <w:u w:val="single"/>
          <w:rtl/>
        </w:rPr>
        <w:t>ן הצעת</w:t>
      </w:r>
      <w:r w:rsidRPr="0080784B">
        <w:rPr>
          <w:rFonts w:cs="David"/>
          <w:b/>
          <w:bCs/>
          <w:sz w:val="24"/>
          <w:szCs w:val="24"/>
          <w:u w:val="single"/>
          <w:rtl/>
        </w:rPr>
        <w:t xml:space="preserve"> </w:t>
      </w:r>
      <w:r w:rsidRPr="0080784B">
        <w:rPr>
          <w:rFonts w:cs="David" w:hint="cs"/>
          <w:b/>
          <w:bCs/>
          <w:sz w:val="24"/>
          <w:szCs w:val="24"/>
          <w:u w:val="single"/>
          <w:rtl/>
        </w:rPr>
        <w:t>חוק</w:t>
      </w:r>
      <w:r w:rsidRPr="0080784B">
        <w:rPr>
          <w:rFonts w:cs="David"/>
          <w:b/>
          <w:bCs/>
          <w:sz w:val="24"/>
          <w:szCs w:val="24"/>
          <w:u w:val="single"/>
          <w:rtl/>
        </w:rPr>
        <w:t xml:space="preserve"> </w:t>
      </w:r>
      <w:r w:rsidRPr="0080784B">
        <w:rPr>
          <w:rFonts w:cs="David" w:hint="cs"/>
          <w:b/>
          <w:bCs/>
          <w:sz w:val="24"/>
          <w:szCs w:val="24"/>
          <w:u w:val="single"/>
          <w:rtl/>
        </w:rPr>
        <w:t>בתי</w:t>
      </w:r>
      <w:r w:rsidRPr="0080784B">
        <w:rPr>
          <w:rFonts w:cs="David"/>
          <w:b/>
          <w:bCs/>
          <w:sz w:val="24"/>
          <w:szCs w:val="24"/>
          <w:u w:val="single"/>
          <w:rtl/>
        </w:rPr>
        <w:t xml:space="preserve"> </w:t>
      </w:r>
      <w:r w:rsidRPr="0080784B">
        <w:rPr>
          <w:rFonts w:cs="David" w:hint="cs"/>
          <w:b/>
          <w:bCs/>
          <w:sz w:val="24"/>
          <w:szCs w:val="24"/>
          <w:u w:val="single"/>
          <w:rtl/>
        </w:rPr>
        <w:t>דין</w:t>
      </w:r>
      <w:r w:rsidRPr="0080784B">
        <w:rPr>
          <w:rFonts w:cs="David"/>
          <w:b/>
          <w:bCs/>
          <w:sz w:val="24"/>
          <w:szCs w:val="24"/>
          <w:u w:val="single"/>
          <w:rtl/>
        </w:rPr>
        <w:t xml:space="preserve"> </w:t>
      </w:r>
      <w:r w:rsidRPr="0080784B">
        <w:rPr>
          <w:rFonts w:cs="David" w:hint="cs"/>
          <w:b/>
          <w:bCs/>
          <w:sz w:val="24"/>
          <w:szCs w:val="24"/>
          <w:u w:val="single"/>
          <w:rtl/>
        </w:rPr>
        <w:t>רבניים</w:t>
      </w:r>
      <w:r w:rsidRPr="0080784B">
        <w:rPr>
          <w:rFonts w:cs="David"/>
          <w:b/>
          <w:bCs/>
          <w:sz w:val="24"/>
          <w:szCs w:val="24"/>
          <w:u w:val="single"/>
          <w:rtl/>
        </w:rPr>
        <w:t xml:space="preserve"> (</w:t>
      </w:r>
      <w:r w:rsidRPr="0080784B">
        <w:rPr>
          <w:rFonts w:cs="David" w:hint="cs"/>
          <w:b/>
          <w:bCs/>
          <w:sz w:val="24"/>
          <w:szCs w:val="24"/>
          <w:u w:val="single"/>
          <w:rtl/>
        </w:rPr>
        <w:t>בוררות</w:t>
      </w:r>
      <w:r w:rsidRPr="0080784B">
        <w:rPr>
          <w:rFonts w:cs="David"/>
          <w:b/>
          <w:bCs/>
          <w:sz w:val="24"/>
          <w:szCs w:val="24"/>
          <w:u w:val="single"/>
          <w:rtl/>
        </w:rPr>
        <w:t xml:space="preserve">), </w:t>
      </w:r>
      <w:r w:rsidRPr="0080784B">
        <w:rPr>
          <w:rFonts w:cs="David" w:hint="cs"/>
          <w:b/>
          <w:bCs/>
          <w:sz w:val="24"/>
          <w:szCs w:val="24"/>
          <w:u w:val="single"/>
          <w:rtl/>
        </w:rPr>
        <w:t>התשע</w:t>
      </w:r>
      <w:r w:rsidRPr="0080784B">
        <w:rPr>
          <w:rFonts w:cs="David"/>
          <w:b/>
          <w:bCs/>
          <w:sz w:val="24"/>
          <w:szCs w:val="24"/>
          <w:u w:val="single"/>
          <w:rtl/>
        </w:rPr>
        <w:t>"</w:t>
      </w:r>
      <w:r w:rsidR="00E05294">
        <w:rPr>
          <w:rFonts w:cs="David" w:hint="cs"/>
          <w:b/>
          <w:bCs/>
          <w:sz w:val="24"/>
          <w:szCs w:val="24"/>
          <w:u w:val="single"/>
          <w:rtl/>
        </w:rPr>
        <w:t>ז</w:t>
      </w:r>
      <w:r w:rsidRPr="0080784B">
        <w:rPr>
          <w:rFonts w:cs="David" w:hint="eastAsia"/>
          <w:b/>
          <w:bCs/>
          <w:sz w:val="24"/>
          <w:szCs w:val="24"/>
          <w:u w:val="single"/>
          <w:rtl/>
        </w:rPr>
        <w:t>–</w:t>
      </w:r>
      <w:r w:rsidRPr="0080784B">
        <w:rPr>
          <w:rFonts w:cs="David"/>
          <w:b/>
          <w:bCs/>
          <w:sz w:val="24"/>
          <w:szCs w:val="24"/>
          <w:u w:val="single"/>
          <w:rtl/>
        </w:rPr>
        <w:t>201</w:t>
      </w:r>
      <w:r w:rsidR="00E05294">
        <w:rPr>
          <w:rFonts w:cs="David" w:hint="cs"/>
          <w:b/>
          <w:bCs/>
          <w:sz w:val="24"/>
          <w:szCs w:val="24"/>
          <w:u w:val="single"/>
          <w:rtl/>
        </w:rPr>
        <w:t>7</w:t>
      </w:r>
    </w:p>
    <w:p w:rsidR="00E05294" w:rsidRDefault="00E05294" w:rsidP="00E05294">
      <w:pPr>
        <w:spacing w:line="240" w:lineRule="auto"/>
        <w:jc w:val="center"/>
        <w:rPr>
          <w:rFonts w:cs="David"/>
          <w:sz w:val="24"/>
          <w:szCs w:val="24"/>
          <w:rtl/>
        </w:rPr>
      </w:pPr>
      <w:r w:rsidRPr="00E05294">
        <w:rPr>
          <w:rFonts w:cs="David" w:hint="cs"/>
          <w:sz w:val="24"/>
          <w:szCs w:val="24"/>
          <w:rtl/>
        </w:rPr>
        <w:t>לק</w:t>
      </w:r>
      <w:r>
        <w:rPr>
          <w:rFonts w:cs="David" w:hint="cs"/>
          <w:sz w:val="24"/>
          <w:szCs w:val="24"/>
          <w:rtl/>
        </w:rPr>
        <w:t>ראת דיון בועדת חוקה ביום:</w:t>
      </w:r>
      <w:r w:rsidR="00433695">
        <w:rPr>
          <w:rFonts w:cs="David" w:hint="cs"/>
          <w:sz w:val="24"/>
          <w:szCs w:val="24"/>
          <w:rtl/>
        </w:rPr>
        <w:t xml:space="preserve"> 14/02/2018</w:t>
      </w:r>
    </w:p>
    <w:p w:rsidR="00E05294" w:rsidRDefault="00E05294" w:rsidP="00E05294">
      <w:pPr>
        <w:spacing w:line="360" w:lineRule="auto"/>
        <w:jc w:val="both"/>
        <w:rPr>
          <w:rFonts w:cs="David"/>
          <w:sz w:val="24"/>
          <w:szCs w:val="24"/>
          <w:rtl/>
        </w:rPr>
      </w:pPr>
    </w:p>
    <w:p w:rsidR="00BE541C" w:rsidRDefault="00E05294" w:rsidP="00146120">
      <w:pPr>
        <w:spacing w:line="360" w:lineRule="auto"/>
        <w:jc w:val="both"/>
        <w:rPr>
          <w:rFonts w:cs="David"/>
          <w:sz w:val="24"/>
          <w:szCs w:val="24"/>
          <w:rtl/>
        </w:rPr>
      </w:pPr>
      <w:r>
        <w:rPr>
          <w:rFonts w:cs="David" w:hint="cs"/>
          <w:sz w:val="24"/>
          <w:szCs w:val="24"/>
          <w:rtl/>
        </w:rPr>
        <w:t xml:space="preserve">עמותת "יד לאישה" מבקשת להתריע מפני </w:t>
      </w:r>
      <w:r w:rsidR="008C3D16">
        <w:rPr>
          <w:rFonts w:cs="David" w:hint="cs"/>
          <w:sz w:val="24"/>
          <w:szCs w:val="24"/>
          <w:rtl/>
        </w:rPr>
        <w:t>חשש לקריסת מערכת בית הדין</w:t>
      </w:r>
      <w:r w:rsidR="00BE541C">
        <w:rPr>
          <w:rFonts w:cs="David" w:hint="cs"/>
          <w:sz w:val="24"/>
          <w:szCs w:val="24"/>
          <w:rtl/>
        </w:rPr>
        <w:t xml:space="preserve"> הרבני ולפגיעה חמורה בציבור המתדיינים,</w:t>
      </w:r>
      <w:r w:rsidR="008C3D16">
        <w:rPr>
          <w:rFonts w:cs="David" w:hint="cs"/>
          <w:sz w:val="24"/>
          <w:szCs w:val="24"/>
          <w:rtl/>
        </w:rPr>
        <w:t xml:space="preserve"> </w:t>
      </w:r>
      <w:r w:rsidR="003F55CE">
        <w:rPr>
          <w:rFonts w:cs="David" w:hint="cs"/>
          <w:sz w:val="24"/>
          <w:szCs w:val="24"/>
          <w:rtl/>
        </w:rPr>
        <w:t>ככל ש</w:t>
      </w:r>
      <w:r w:rsidR="00BE541C">
        <w:rPr>
          <w:rFonts w:cs="David" w:hint="cs"/>
          <w:sz w:val="24"/>
          <w:szCs w:val="24"/>
          <w:rtl/>
        </w:rPr>
        <w:t>הצעת ה</w:t>
      </w:r>
      <w:r>
        <w:rPr>
          <w:rFonts w:cs="David" w:hint="cs"/>
          <w:sz w:val="24"/>
          <w:szCs w:val="24"/>
          <w:rtl/>
        </w:rPr>
        <w:t>חוק</w:t>
      </w:r>
      <w:r w:rsidR="00BE541C">
        <w:rPr>
          <w:rFonts w:cs="David" w:hint="cs"/>
          <w:sz w:val="24"/>
          <w:szCs w:val="24"/>
          <w:rtl/>
        </w:rPr>
        <w:t xml:space="preserve"> שבנדון </w:t>
      </w:r>
      <w:r>
        <w:rPr>
          <w:rFonts w:cs="David" w:hint="cs"/>
          <w:sz w:val="24"/>
          <w:szCs w:val="24"/>
          <w:rtl/>
        </w:rPr>
        <w:t xml:space="preserve">תעבור </w:t>
      </w:r>
      <w:r w:rsidR="003F55CE">
        <w:rPr>
          <w:rFonts w:cs="David" w:hint="cs"/>
          <w:sz w:val="24"/>
          <w:szCs w:val="24"/>
          <w:rtl/>
        </w:rPr>
        <w:t>ל</w:t>
      </w:r>
      <w:r>
        <w:rPr>
          <w:rFonts w:cs="David" w:hint="cs"/>
          <w:sz w:val="24"/>
          <w:szCs w:val="24"/>
          <w:rtl/>
        </w:rPr>
        <w:t xml:space="preserve">לא </w:t>
      </w:r>
      <w:r w:rsidR="00BE541C">
        <w:rPr>
          <w:rFonts w:cs="David" w:hint="cs"/>
          <w:sz w:val="24"/>
          <w:szCs w:val="24"/>
          <w:rtl/>
        </w:rPr>
        <w:t>הגדל</w:t>
      </w:r>
      <w:r w:rsidR="00146120">
        <w:rPr>
          <w:rFonts w:cs="David" w:hint="cs"/>
          <w:sz w:val="24"/>
          <w:szCs w:val="24"/>
          <w:rtl/>
        </w:rPr>
        <w:t>ה</w:t>
      </w:r>
      <w:r w:rsidR="00BE541C">
        <w:rPr>
          <w:rFonts w:cs="David" w:hint="cs"/>
          <w:sz w:val="24"/>
          <w:szCs w:val="24"/>
          <w:rtl/>
        </w:rPr>
        <w:t xml:space="preserve"> תקציב</w:t>
      </w:r>
      <w:r w:rsidR="00146120">
        <w:rPr>
          <w:rFonts w:cs="David" w:hint="cs"/>
          <w:sz w:val="24"/>
          <w:szCs w:val="24"/>
          <w:rtl/>
        </w:rPr>
        <w:t>ית</w:t>
      </w:r>
      <w:r w:rsidR="00BE541C">
        <w:rPr>
          <w:rFonts w:cs="David" w:hint="cs"/>
          <w:sz w:val="24"/>
          <w:szCs w:val="24"/>
          <w:rtl/>
        </w:rPr>
        <w:t xml:space="preserve"> </w:t>
      </w:r>
      <w:r w:rsidR="003F55CE">
        <w:rPr>
          <w:rFonts w:cs="David" w:hint="cs"/>
          <w:sz w:val="24"/>
          <w:szCs w:val="24"/>
          <w:rtl/>
        </w:rPr>
        <w:t>ו</w:t>
      </w:r>
      <w:r w:rsidR="008C3D16">
        <w:rPr>
          <w:rFonts w:cs="David" w:hint="cs"/>
          <w:sz w:val="24"/>
          <w:szCs w:val="24"/>
          <w:rtl/>
        </w:rPr>
        <w:t>הוספ</w:t>
      </w:r>
      <w:r w:rsidR="003F55CE">
        <w:rPr>
          <w:rFonts w:cs="David" w:hint="cs"/>
          <w:sz w:val="24"/>
          <w:szCs w:val="24"/>
          <w:rtl/>
        </w:rPr>
        <w:t xml:space="preserve">ת תקנים </w:t>
      </w:r>
      <w:r w:rsidR="00146120">
        <w:rPr>
          <w:rFonts w:cs="David" w:hint="cs"/>
          <w:sz w:val="24"/>
          <w:szCs w:val="24"/>
          <w:rtl/>
        </w:rPr>
        <w:t>ה</w:t>
      </w:r>
      <w:r w:rsidR="00BE541C">
        <w:rPr>
          <w:rFonts w:cs="David" w:hint="cs"/>
          <w:sz w:val="24"/>
          <w:szCs w:val="24"/>
          <w:rtl/>
        </w:rPr>
        <w:t xml:space="preserve">נדרשים </w:t>
      </w:r>
      <w:r w:rsidR="009E58E9">
        <w:rPr>
          <w:rFonts w:cs="David" w:hint="cs"/>
          <w:sz w:val="24"/>
          <w:szCs w:val="24"/>
          <w:rtl/>
        </w:rPr>
        <w:t>בהתאם ל</w:t>
      </w:r>
      <w:r w:rsidR="000A666B">
        <w:rPr>
          <w:rFonts w:cs="David" w:hint="cs"/>
          <w:sz w:val="24"/>
          <w:szCs w:val="24"/>
          <w:rtl/>
        </w:rPr>
        <w:t xml:space="preserve">הגדלת </w:t>
      </w:r>
      <w:r w:rsidR="009E58E9">
        <w:rPr>
          <w:rFonts w:cs="David" w:hint="cs"/>
          <w:sz w:val="24"/>
          <w:szCs w:val="24"/>
          <w:rtl/>
        </w:rPr>
        <w:t>היקף הפעילות בבתי הדין הרבניים מכוח הצעת החוק</w:t>
      </w:r>
      <w:r w:rsidR="003F55CE">
        <w:rPr>
          <w:rFonts w:cs="David" w:hint="cs"/>
          <w:sz w:val="24"/>
          <w:szCs w:val="24"/>
          <w:rtl/>
        </w:rPr>
        <w:t xml:space="preserve">. </w:t>
      </w:r>
    </w:p>
    <w:p w:rsidR="00E05294" w:rsidRDefault="008C3D16" w:rsidP="009E58E9">
      <w:pPr>
        <w:spacing w:line="360" w:lineRule="auto"/>
        <w:jc w:val="both"/>
        <w:rPr>
          <w:rFonts w:cs="David"/>
          <w:sz w:val="24"/>
          <w:szCs w:val="24"/>
          <w:rtl/>
        </w:rPr>
      </w:pPr>
      <w:r>
        <w:rPr>
          <w:rFonts w:cs="David" w:hint="cs"/>
          <w:sz w:val="24"/>
          <w:szCs w:val="24"/>
          <w:rtl/>
        </w:rPr>
        <w:t>העומס בבתי הדין הרבניים הינו כבר ע</w:t>
      </w:r>
      <w:r w:rsidR="009E58E9">
        <w:rPr>
          <w:rFonts w:cs="David" w:hint="cs"/>
          <w:sz w:val="24"/>
          <w:szCs w:val="24"/>
          <w:rtl/>
        </w:rPr>
        <w:t>תה</w:t>
      </w:r>
      <w:r>
        <w:rPr>
          <w:rFonts w:cs="David" w:hint="cs"/>
          <w:sz w:val="24"/>
          <w:szCs w:val="24"/>
          <w:rtl/>
        </w:rPr>
        <w:t xml:space="preserve"> בלתי נסבל ופוגע קשות בציבור המתדיינים. הגדלת היקף התיקים שידונו בפני בתי הדין </w:t>
      </w:r>
      <w:r w:rsidR="00BE541C">
        <w:rPr>
          <w:rFonts w:cs="David" w:hint="cs"/>
          <w:sz w:val="24"/>
          <w:szCs w:val="24"/>
          <w:rtl/>
        </w:rPr>
        <w:t xml:space="preserve">הרבניים </w:t>
      </w:r>
      <w:r>
        <w:rPr>
          <w:rFonts w:cs="David" w:hint="cs"/>
          <w:sz w:val="24"/>
          <w:szCs w:val="24"/>
          <w:rtl/>
        </w:rPr>
        <w:t xml:space="preserve">מבלי להגדיל את מספר הדיינים תוביל בוודאות לפגיעה חמורה </w:t>
      </w:r>
      <w:r w:rsidR="00BE541C">
        <w:rPr>
          <w:rFonts w:cs="David" w:hint="cs"/>
          <w:sz w:val="24"/>
          <w:szCs w:val="24"/>
          <w:rtl/>
        </w:rPr>
        <w:t>בציבור ה</w:t>
      </w:r>
      <w:r>
        <w:rPr>
          <w:rFonts w:cs="David" w:hint="cs"/>
          <w:sz w:val="24"/>
          <w:szCs w:val="24"/>
          <w:rtl/>
        </w:rPr>
        <w:t xml:space="preserve">מתדיינים, </w:t>
      </w:r>
      <w:r w:rsidR="00BE541C">
        <w:rPr>
          <w:rFonts w:cs="David" w:hint="cs"/>
          <w:sz w:val="24"/>
          <w:szCs w:val="24"/>
          <w:rtl/>
        </w:rPr>
        <w:t>ת</w:t>
      </w:r>
      <w:r>
        <w:rPr>
          <w:rFonts w:cs="David" w:hint="cs"/>
          <w:sz w:val="24"/>
          <w:szCs w:val="24"/>
          <w:rtl/>
        </w:rPr>
        <w:t xml:space="preserve">גרום לעינוי דין וסבל רב </w:t>
      </w:r>
      <w:r w:rsidR="00BE541C">
        <w:rPr>
          <w:rFonts w:cs="David" w:hint="cs"/>
          <w:sz w:val="24"/>
          <w:szCs w:val="24"/>
          <w:rtl/>
        </w:rPr>
        <w:t xml:space="preserve">ובפרט כלפי </w:t>
      </w:r>
      <w:r>
        <w:rPr>
          <w:rFonts w:cs="David" w:hint="cs"/>
          <w:sz w:val="24"/>
          <w:szCs w:val="24"/>
          <w:rtl/>
        </w:rPr>
        <w:t>נשים עגונות ומסורבות גט, וכפי שיפורט להלן:</w:t>
      </w:r>
    </w:p>
    <w:p w:rsidR="003F55CE" w:rsidRDefault="003F55CE" w:rsidP="003F55CE">
      <w:pPr>
        <w:spacing w:line="360" w:lineRule="auto"/>
        <w:jc w:val="both"/>
        <w:rPr>
          <w:rFonts w:cs="David"/>
          <w:sz w:val="24"/>
          <w:szCs w:val="24"/>
          <w:rtl/>
        </w:rPr>
      </w:pPr>
      <w:r>
        <w:rPr>
          <w:rFonts w:cs="David" w:hint="cs"/>
          <w:sz w:val="24"/>
          <w:szCs w:val="24"/>
          <w:rtl/>
        </w:rPr>
        <w:t>בדברי ההסבר להצעת החוק נאמר כי: "הצעת החוק מעגנת בחקיקה את המצב הנוהג ממילא בבתי הדין הרבניים ולפיכך לא תידרש תוספת תקציבית לצורך יישום החוק בבתי הדין הרבניים..."</w:t>
      </w:r>
    </w:p>
    <w:p w:rsidR="00563CD4" w:rsidRDefault="00AB3B6A" w:rsidP="000A666B">
      <w:pPr>
        <w:spacing w:line="360" w:lineRule="auto"/>
        <w:jc w:val="both"/>
        <w:rPr>
          <w:rFonts w:cs="David"/>
          <w:sz w:val="24"/>
          <w:szCs w:val="24"/>
          <w:rtl/>
        </w:rPr>
      </w:pPr>
      <w:r>
        <w:rPr>
          <w:rFonts w:cs="David" w:hint="cs"/>
          <w:sz w:val="24"/>
          <w:szCs w:val="24"/>
          <w:rtl/>
        </w:rPr>
        <w:t>אמירה זו חוטאת לאמת בשני היבטים: בהיבט העובדתי</w:t>
      </w:r>
      <w:r w:rsidR="00563CD4">
        <w:rPr>
          <w:rFonts w:cs="David" w:hint="cs"/>
          <w:sz w:val="24"/>
          <w:szCs w:val="24"/>
          <w:rtl/>
        </w:rPr>
        <w:t xml:space="preserve">, אין זה </w:t>
      </w:r>
      <w:r>
        <w:rPr>
          <w:rFonts w:cs="David" w:hint="cs"/>
          <w:sz w:val="24"/>
          <w:szCs w:val="24"/>
          <w:rtl/>
        </w:rPr>
        <w:t xml:space="preserve">נכון כי זהו </w:t>
      </w:r>
      <w:r w:rsidR="00563CD4">
        <w:rPr>
          <w:rFonts w:cs="David" w:hint="cs"/>
          <w:sz w:val="24"/>
          <w:szCs w:val="24"/>
          <w:rtl/>
        </w:rPr>
        <w:t>המצב הנוהג ממילא בבתי הדין הרבניים</w:t>
      </w:r>
      <w:r>
        <w:rPr>
          <w:rFonts w:cs="David" w:hint="cs"/>
          <w:sz w:val="24"/>
          <w:szCs w:val="24"/>
          <w:rtl/>
        </w:rPr>
        <w:t>.</w:t>
      </w:r>
      <w:r w:rsidR="00563CD4">
        <w:rPr>
          <w:rFonts w:cs="David" w:hint="cs"/>
          <w:sz w:val="24"/>
          <w:szCs w:val="24"/>
          <w:rtl/>
        </w:rPr>
        <w:t xml:space="preserve"> בתי הדין הרבניים מנועים</w:t>
      </w:r>
      <w:r w:rsidR="009E58E9">
        <w:rPr>
          <w:rFonts w:cs="David" w:hint="cs"/>
          <w:sz w:val="24"/>
          <w:szCs w:val="24"/>
          <w:rtl/>
        </w:rPr>
        <w:t xml:space="preserve"> כידוע</w:t>
      </w:r>
      <w:r>
        <w:rPr>
          <w:rFonts w:cs="David" w:hint="cs"/>
          <w:sz w:val="24"/>
          <w:szCs w:val="24"/>
          <w:rtl/>
        </w:rPr>
        <w:t>,</w:t>
      </w:r>
      <w:r w:rsidR="00563CD4">
        <w:rPr>
          <w:rFonts w:cs="David" w:hint="cs"/>
          <w:sz w:val="24"/>
          <w:szCs w:val="24"/>
          <w:rtl/>
        </w:rPr>
        <w:t xml:space="preserve"> מאז פסיקת בג"צ בענין סימה אמיר,</w:t>
      </w:r>
      <w:r w:rsidR="00563CD4">
        <w:rPr>
          <w:rStyle w:val="ab"/>
          <w:rFonts w:cs="David"/>
          <w:sz w:val="24"/>
          <w:szCs w:val="24"/>
          <w:rtl/>
        </w:rPr>
        <w:footnoteReference w:id="1"/>
      </w:r>
      <w:r w:rsidR="00563CD4">
        <w:rPr>
          <w:rFonts w:cs="David" w:hint="cs"/>
          <w:sz w:val="24"/>
          <w:szCs w:val="24"/>
          <w:rtl/>
        </w:rPr>
        <w:t xml:space="preserve">  מלדון בעניינים שאינם ענייני נישואין וגירושין</w:t>
      </w:r>
      <w:r>
        <w:rPr>
          <w:rFonts w:cs="David" w:hint="cs"/>
          <w:sz w:val="24"/>
          <w:szCs w:val="24"/>
          <w:rtl/>
        </w:rPr>
        <w:t xml:space="preserve"> ו</w:t>
      </w:r>
      <w:r w:rsidR="009E58E9">
        <w:rPr>
          <w:rFonts w:cs="David" w:hint="cs"/>
          <w:sz w:val="24"/>
          <w:szCs w:val="24"/>
          <w:rtl/>
        </w:rPr>
        <w:t xml:space="preserve">אכן </w:t>
      </w:r>
      <w:r>
        <w:rPr>
          <w:rFonts w:cs="David" w:hint="cs"/>
          <w:sz w:val="24"/>
          <w:szCs w:val="24"/>
          <w:rtl/>
        </w:rPr>
        <w:t xml:space="preserve">בפועל בתי הדין הרבניים אינם דנים </w:t>
      </w:r>
      <w:r w:rsidR="000A666B">
        <w:rPr>
          <w:rFonts w:cs="David" w:hint="cs"/>
          <w:sz w:val="24"/>
          <w:szCs w:val="24"/>
          <w:rtl/>
        </w:rPr>
        <w:t>כ</w:t>
      </w:r>
      <w:r>
        <w:rPr>
          <w:rFonts w:cs="David" w:hint="cs"/>
          <w:sz w:val="24"/>
          <w:szCs w:val="24"/>
          <w:rtl/>
        </w:rPr>
        <w:t>יום בנושאים אזרחיים</w:t>
      </w:r>
      <w:r w:rsidR="00563CD4">
        <w:rPr>
          <w:rFonts w:cs="David" w:hint="cs"/>
          <w:sz w:val="24"/>
          <w:szCs w:val="24"/>
          <w:rtl/>
        </w:rPr>
        <w:t xml:space="preserve">. </w:t>
      </w:r>
      <w:r>
        <w:rPr>
          <w:rFonts w:cs="David" w:hint="cs"/>
          <w:sz w:val="24"/>
          <w:szCs w:val="24"/>
          <w:rtl/>
        </w:rPr>
        <w:t xml:space="preserve">בהיבט התיאורטי, </w:t>
      </w:r>
      <w:r w:rsidR="00563CD4">
        <w:rPr>
          <w:rFonts w:cs="David" w:hint="cs"/>
          <w:sz w:val="24"/>
          <w:szCs w:val="24"/>
          <w:rtl/>
        </w:rPr>
        <w:t xml:space="preserve">ברי כי הרחבת סמכויותיהם של בתי הדין לדון כבוררים גם בעניינים אזרחיים </w:t>
      </w:r>
      <w:r>
        <w:rPr>
          <w:rFonts w:cs="David" w:hint="cs"/>
          <w:sz w:val="24"/>
          <w:szCs w:val="24"/>
          <w:rtl/>
        </w:rPr>
        <w:t>תוסיף תיקים רבים להיקף התיקים הקיימים ו</w:t>
      </w:r>
      <w:r w:rsidR="00563CD4">
        <w:rPr>
          <w:rFonts w:cs="David" w:hint="cs"/>
          <w:sz w:val="24"/>
          <w:szCs w:val="24"/>
          <w:rtl/>
        </w:rPr>
        <w:t>תטיל עומס רב מעבר לעומס הקיים</w:t>
      </w:r>
      <w:r w:rsidR="009E58E9">
        <w:rPr>
          <w:rFonts w:cs="David" w:hint="cs"/>
          <w:sz w:val="24"/>
          <w:szCs w:val="24"/>
          <w:rtl/>
        </w:rPr>
        <w:t xml:space="preserve"> </w:t>
      </w:r>
      <w:r>
        <w:rPr>
          <w:rFonts w:cs="David" w:hint="cs"/>
          <w:sz w:val="24"/>
          <w:szCs w:val="24"/>
          <w:rtl/>
        </w:rPr>
        <w:t>ממילא</w:t>
      </w:r>
      <w:r w:rsidR="00563CD4">
        <w:rPr>
          <w:rFonts w:cs="David" w:hint="cs"/>
          <w:sz w:val="24"/>
          <w:szCs w:val="24"/>
          <w:rtl/>
        </w:rPr>
        <w:t>.</w:t>
      </w:r>
    </w:p>
    <w:p w:rsidR="009E58E9" w:rsidRDefault="009D3126" w:rsidP="009E58E9">
      <w:pPr>
        <w:spacing w:line="360" w:lineRule="auto"/>
        <w:jc w:val="both"/>
        <w:rPr>
          <w:rFonts w:cs="David"/>
          <w:sz w:val="24"/>
          <w:szCs w:val="24"/>
          <w:rtl/>
        </w:rPr>
      </w:pPr>
      <w:r>
        <w:rPr>
          <w:rFonts w:cs="David" w:hint="cs"/>
          <w:sz w:val="24"/>
          <w:szCs w:val="24"/>
          <w:rtl/>
        </w:rPr>
        <w:t>כאמור, כבר היום העומס הינו בלתי נסבל ופוגע קשות בבאי בית הדין. אנו יודעות זאת מגוף ראשון מתוקף עבודתנו היומיומית מול בתי הדין הרבניים</w:t>
      </w:r>
      <w:r w:rsidR="009E58E9">
        <w:rPr>
          <w:rFonts w:cs="David" w:hint="cs"/>
          <w:sz w:val="24"/>
          <w:szCs w:val="24"/>
          <w:rtl/>
        </w:rPr>
        <w:t xml:space="preserve"> ברחבי כל הארץ</w:t>
      </w:r>
      <w:r>
        <w:rPr>
          <w:rFonts w:cs="David" w:hint="cs"/>
          <w:sz w:val="24"/>
          <w:szCs w:val="24"/>
          <w:rtl/>
        </w:rPr>
        <w:t xml:space="preserve">, </w:t>
      </w:r>
      <w:r w:rsidR="009E58E9">
        <w:rPr>
          <w:rFonts w:cs="David" w:hint="cs"/>
          <w:sz w:val="24"/>
          <w:szCs w:val="24"/>
          <w:rtl/>
        </w:rPr>
        <w:t>כאשר בלא מעט תיקי גירושין נקבעים דיונים רק כעבור חודשים רבים, ולעיתים אף כאשר מדובר בדיון ראשון בתיק. בכך נגרם עינוי דין קשה לבעלי הדין, וסבל רב נוסף לנשים מסורבות גט ועגונות המחכות ומייחלות זמן ממושך להשתחרר מעיגונן.</w:t>
      </w:r>
    </w:p>
    <w:p w:rsidR="009D3126" w:rsidRDefault="009D3126" w:rsidP="009E58E9">
      <w:pPr>
        <w:spacing w:line="360" w:lineRule="auto"/>
        <w:jc w:val="both"/>
        <w:rPr>
          <w:rFonts w:cs="David"/>
          <w:sz w:val="24"/>
          <w:szCs w:val="24"/>
          <w:rtl/>
        </w:rPr>
      </w:pPr>
      <w:r>
        <w:rPr>
          <w:rFonts w:cs="David" w:hint="cs"/>
          <w:sz w:val="24"/>
          <w:szCs w:val="24"/>
          <w:rtl/>
        </w:rPr>
        <w:t xml:space="preserve">ניתן ללמוד על </w:t>
      </w:r>
      <w:r w:rsidR="009E58E9">
        <w:rPr>
          <w:rFonts w:cs="David" w:hint="cs"/>
          <w:sz w:val="24"/>
          <w:szCs w:val="24"/>
          <w:rtl/>
        </w:rPr>
        <w:t>מציאות קשה זו</w:t>
      </w:r>
      <w:r>
        <w:rPr>
          <w:rFonts w:cs="David" w:hint="cs"/>
          <w:sz w:val="24"/>
          <w:szCs w:val="24"/>
          <w:rtl/>
        </w:rPr>
        <w:t xml:space="preserve"> גם ממכתב ששיגרו </w:t>
      </w:r>
      <w:r w:rsidR="00E67191">
        <w:rPr>
          <w:rFonts w:cs="David" w:hint="cs"/>
          <w:sz w:val="24"/>
          <w:szCs w:val="24"/>
          <w:rtl/>
        </w:rPr>
        <w:t xml:space="preserve">לאחרונה </w:t>
      </w:r>
      <w:r>
        <w:rPr>
          <w:rFonts w:cs="David" w:hint="cs"/>
          <w:sz w:val="24"/>
          <w:szCs w:val="24"/>
          <w:rtl/>
        </w:rPr>
        <w:t xml:space="preserve">הרבנים הראשיים </w:t>
      </w:r>
      <w:r w:rsidR="00E67191">
        <w:rPr>
          <w:rFonts w:cs="David" w:hint="cs"/>
          <w:sz w:val="24"/>
          <w:szCs w:val="24"/>
          <w:rtl/>
        </w:rPr>
        <w:t xml:space="preserve">אל השר יובל שטייניץ, יו"ר הועדה למינוי דיינים, בו הם מבקשים, יחד עם חברים נוספים בועדה, כי השר יפעיל את סמכותו ויכנס את הועדה שכן לדבריהם: "חסרים כמה וכמה הרכבים, </w:t>
      </w:r>
      <w:r w:rsidR="00E67191" w:rsidRPr="005C6C36">
        <w:rPr>
          <w:rFonts w:cs="David" w:hint="cs"/>
          <w:sz w:val="24"/>
          <w:szCs w:val="24"/>
          <w:u w:val="single"/>
          <w:rtl/>
        </w:rPr>
        <w:t>והדבר גורם לעינוי הדין אצל בעלי דין, ואי מינוי דיינים גורם לסחבת ולעגינות של הנשים</w:t>
      </w:r>
      <w:r w:rsidR="00E67191">
        <w:rPr>
          <w:rFonts w:cs="David" w:hint="cs"/>
          <w:sz w:val="24"/>
          <w:szCs w:val="24"/>
          <w:rtl/>
        </w:rPr>
        <w:t>...."</w:t>
      </w:r>
      <w:r w:rsidR="00E67191">
        <w:rPr>
          <w:rStyle w:val="ab"/>
          <w:rFonts w:cs="David"/>
          <w:sz w:val="24"/>
          <w:szCs w:val="24"/>
          <w:rtl/>
        </w:rPr>
        <w:footnoteReference w:id="2"/>
      </w:r>
    </w:p>
    <w:p w:rsidR="00E67191" w:rsidRDefault="002033F5" w:rsidP="009E58E9">
      <w:pPr>
        <w:spacing w:line="360" w:lineRule="auto"/>
        <w:jc w:val="both"/>
        <w:rPr>
          <w:rFonts w:cs="David"/>
          <w:sz w:val="24"/>
          <w:szCs w:val="24"/>
          <w:rtl/>
        </w:rPr>
      </w:pPr>
      <w:r>
        <w:rPr>
          <w:rFonts w:cs="David" w:hint="cs"/>
          <w:sz w:val="24"/>
          <w:szCs w:val="24"/>
          <w:rtl/>
        </w:rPr>
        <w:t xml:space="preserve">העומדים בראש המערכת </w:t>
      </w:r>
      <w:r w:rsidR="005D050C">
        <w:rPr>
          <w:rFonts w:cs="David" w:hint="cs"/>
          <w:sz w:val="24"/>
          <w:szCs w:val="24"/>
          <w:rtl/>
        </w:rPr>
        <w:t xml:space="preserve">אומרים כבר עתה כי המערכת </w:t>
      </w:r>
      <w:r w:rsidR="00E67191">
        <w:rPr>
          <w:rFonts w:cs="David" w:hint="cs"/>
          <w:sz w:val="24"/>
          <w:szCs w:val="24"/>
          <w:rtl/>
        </w:rPr>
        <w:t>אינה עומדת במתן השירות הנדרש במסגרת הסמכויות הקיימות</w:t>
      </w:r>
      <w:r w:rsidR="005D050C">
        <w:rPr>
          <w:rFonts w:cs="David" w:hint="cs"/>
          <w:sz w:val="24"/>
          <w:szCs w:val="24"/>
          <w:rtl/>
        </w:rPr>
        <w:t>, וכי נגרם סבל</w:t>
      </w:r>
      <w:r w:rsidR="009E58E9">
        <w:rPr>
          <w:rFonts w:cs="David" w:hint="cs"/>
          <w:sz w:val="24"/>
          <w:szCs w:val="24"/>
          <w:rtl/>
        </w:rPr>
        <w:t>,</w:t>
      </w:r>
      <w:r w:rsidR="005D050C">
        <w:rPr>
          <w:rFonts w:cs="David" w:hint="cs"/>
          <w:sz w:val="24"/>
          <w:szCs w:val="24"/>
          <w:rtl/>
        </w:rPr>
        <w:t xml:space="preserve"> עינוי ועיגון של נשים! כיצד </w:t>
      </w:r>
      <w:r w:rsidR="00E67191">
        <w:rPr>
          <w:rFonts w:cs="David" w:hint="cs"/>
          <w:sz w:val="24"/>
          <w:szCs w:val="24"/>
          <w:rtl/>
        </w:rPr>
        <w:t xml:space="preserve">ניתן להוסיף </w:t>
      </w:r>
      <w:r w:rsidR="005D050C">
        <w:rPr>
          <w:rFonts w:cs="David" w:hint="cs"/>
          <w:sz w:val="24"/>
          <w:szCs w:val="24"/>
          <w:rtl/>
        </w:rPr>
        <w:t xml:space="preserve">סמכויות והיקף פעילות למערכת עמוסה מבלי </w:t>
      </w:r>
      <w:r w:rsidR="00E67191">
        <w:rPr>
          <w:rFonts w:cs="David" w:hint="cs"/>
          <w:sz w:val="24"/>
          <w:szCs w:val="24"/>
          <w:rtl/>
        </w:rPr>
        <w:t>להרחיב ולהוסיף תקנים לדיינים נוספים??</w:t>
      </w:r>
    </w:p>
    <w:p w:rsidR="00AB3B6A" w:rsidRDefault="00AB3B6A" w:rsidP="003E44C7">
      <w:pPr>
        <w:spacing w:line="360" w:lineRule="auto"/>
        <w:jc w:val="both"/>
        <w:rPr>
          <w:rFonts w:cs="David"/>
          <w:sz w:val="24"/>
          <w:szCs w:val="24"/>
          <w:rtl/>
        </w:rPr>
      </w:pPr>
      <w:r>
        <w:rPr>
          <w:rFonts w:cs="David" w:hint="cs"/>
          <w:sz w:val="24"/>
          <w:szCs w:val="24"/>
          <w:rtl/>
        </w:rPr>
        <w:lastRenderedPageBreak/>
        <w:t>זאת ועוד, בדיון מיום 11/07/17, שהתקיים בועדת החוקה בעניינה של הצעת החוק שבנדון, אמר מנכ"ל בתי הדין הרבניים, עו"ד שמעון יעקובי, כי: "</w:t>
      </w:r>
      <w:r w:rsidRPr="00AB3B6A">
        <w:rPr>
          <w:rFonts w:cs="David" w:hint="cs"/>
          <w:sz w:val="24"/>
          <w:szCs w:val="24"/>
          <w:rtl/>
        </w:rPr>
        <w:t>אנחנו</w:t>
      </w:r>
      <w:r w:rsidRPr="00AB3B6A">
        <w:rPr>
          <w:rFonts w:cs="David"/>
          <w:sz w:val="24"/>
          <w:szCs w:val="24"/>
          <w:rtl/>
        </w:rPr>
        <w:t xml:space="preserve"> </w:t>
      </w:r>
      <w:r w:rsidRPr="00AB3B6A">
        <w:rPr>
          <w:rFonts w:cs="David" w:hint="cs"/>
          <w:sz w:val="24"/>
          <w:szCs w:val="24"/>
          <w:rtl/>
        </w:rPr>
        <w:t>לא</w:t>
      </w:r>
      <w:r w:rsidRPr="00AB3B6A">
        <w:rPr>
          <w:rFonts w:cs="David"/>
          <w:sz w:val="24"/>
          <w:szCs w:val="24"/>
          <w:rtl/>
        </w:rPr>
        <w:t xml:space="preserve"> </w:t>
      </w:r>
      <w:r w:rsidRPr="00AB3B6A">
        <w:rPr>
          <w:rFonts w:cs="David" w:hint="cs"/>
          <w:sz w:val="24"/>
          <w:szCs w:val="24"/>
          <w:rtl/>
        </w:rPr>
        <w:t>זקוקים</w:t>
      </w:r>
      <w:r w:rsidRPr="00AB3B6A">
        <w:rPr>
          <w:rFonts w:cs="David"/>
          <w:sz w:val="24"/>
          <w:szCs w:val="24"/>
          <w:rtl/>
        </w:rPr>
        <w:t xml:space="preserve"> </w:t>
      </w:r>
      <w:r w:rsidR="003E44C7">
        <w:rPr>
          <w:rFonts w:cs="David" w:hint="cs"/>
          <w:sz w:val="24"/>
          <w:szCs w:val="24"/>
          <w:rtl/>
        </w:rPr>
        <w:t xml:space="preserve">לתקציב נוסף לצורך הפעלת החוק הזה כפי שהוא, אני מדבר </w:t>
      </w:r>
      <w:r w:rsidR="003E44C7" w:rsidRPr="005C6C36">
        <w:rPr>
          <w:rFonts w:cs="David" w:hint="cs"/>
          <w:b/>
          <w:bCs/>
          <w:sz w:val="24"/>
          <w:szCs w:val="24"/>
          <w:rtl/>
        </w:rPr>
        <w:t>כרגע</w:t>
      </w:r>
      <w:r w:rsidRPr="005C6C36">
        <w:rPr>
          <w:rFonts w:cs="David"/>
          <w:sz w:val="24"/>
          <w:szCs w:val="24"/>
          <w:rtl/>
        </w:rPr>
        <w:t>.</w:t>
      </w:r>
      <w:r w:rsidR="003E44C7">
        <w:rPr>
          <w:rFonts w:cs="David" w:hint="cs"/>
          <w:sz w:val="24"/>
          <w:szCs w:val="24"/>
          <w:rtl/>
        </w:rPr>
        <w:t>...</w:t>
      </w:r>
      <w:r w:rsidRPr="00AB3B6A">
        <w:rPr>
          <w:rFonts w:cs="David"/>
          <w:sz w:val="24"/>
          <w:szCs w:val="24"/>
          <w:rtl/>
        </w:rPr>
        <w:t xml:space="preserve"> </w:t>
      </w:r>
      <w:r w:rsidR="003E44C7" w:rsidRPr="003E44C7">
        <w:rPr>
          <w:rFonts w:cs="David" w:hint="cs"/>
          <w:sz w:val="24"/>
          <w:szCs w:val="24"/>
          <w:rtl/>
        </w:rPr>
        <w:t>כ</w:t>
      </w:r>
      <w:r w:rsidR="003E44C7" w:rsidRPr="003E44C7">
        <w:rPr>
          <w:rFonts w:cs="David"/>
          <w:sz w:val="24"/>
          <w:szCs w:val="24"/>
          <w:rtl/>
        </w:rPr>
        <w:t xml:space="preserve">-700 </w:t>
      </w:r>
      <w:r w:rsidR="003E44C7" w:rsidRPr="003E44C7">
        <w:rPr>
          <w:rFonts w:cs="David" w:hint="cs"/>
          <w:sz w:val="24"/>
          <w:szCs w:val="24"/>
          <w:rtl/>
        </w:rPr>
        <w:t>תיקי</w:t>
      </w:r>
      <w:r w:rsidR="003E44C7" w:rsidRPr="003E44C7">
        <w:rPr>
          <w:rFonts w:cs="David"/>
          <w:sz w:val="24"/>
          <w:szCs w:val="24"/>
          <w:rtl/>
        </w:rPr>
        <w:t xml:space="preserve"> </w:t>
      </w:r>
      <w:r w:rsidR="003E44C7" w:rsidRPr="003E44C7">
        <w:rPr>
          <w:rFonts w:cs="David" w:hint="cs"/>
          <w:sz w:val="24"/>
          <w:szCs w:val="24"/>
          <w:rtl/>
        </w:rPr>
        <w:t>בוררות</w:t>
      </w:r>
      <w:r w:rsidR="003E44C7" w:rsidRPr="003E44C7">
        <w:rPr>
          <w:rFonts w:cs="David"/>
          <w:sz w:val="24"/>
          <w:szCs w:val="24"/>
          <w:rtl/>
        </w:rPr>
        <w:t xml:space="preserve"> </w:t>
      </w:r>
      <w:r w:rsidR="003E44C7" w:rsidRPr="003E44C7">
        <w:rPr>
          <w:rFonts w:cs="David" w:hint="cs"/>
          <w:sz w:val="24"/>
          <w:szCs w:val="24"/>
          <w:rtl/>
        </w:rPr>
        <w:t>נידונו</w:t>
      </w:r>
      <w:r w:rsidR="003E44C7" w:rsidRPr="003E44C7">
        <w:rPr>
          <w:rFonts w:cs="David"/>
          <w:sz w:val="24"/>
          <w:szCs w:val="24"/>
          <w:rtl/>
        </w:rPr>
        <w:t xml:space="preserve"> </w:t>
      </w:r>
      <w:r w:rsidR="003E44C7" w:rsidRPr="003E44C7">
        <w:rPr>
          <w:rFonts w:cs="David" w:hint="cs"/>
          <w:sz w:val="24"/>
          <w:szCs w:val="24"/>
          <w:rtl/>
        </w:rPr>
        <w:t>בבתי</w:t>
      </w:r>
      <w:r w:rsidR="003E44C7" w:rsidRPr="003E44C7">
        <w:rPr>
          <w:rFonts w:cs="David"/>
          <w:sz w:val="24"/>
          <w:szCs w:val="24"/>
          <w:rtl/>
        </w:rPr>
        <w:t xml:space="preserve"> </w:t>
      </w:r>
      <w:r w:rsidR="003E44C7" w:rsidRPr="003E44C7">
        <w:rPr>
          <w:rFonts w:cs="David" w:hint="cs"/>
          <w:sz w:val="24"/>
          <w:szCs w:val="24"/>
          <w:rtl/>
        </w:rPr>
        <w:t>הדין</w:t>
      </w:r>
      <w:r w:rsidR="003E44C7" w:rsidRPr="003E44C7">
        <w:rPr>
          <w:rFonts w:cs="David"/>
          <w:sz w:val="24"/>
          <w:szCs w:val="24"/>
          <w:rtl/>
        </w:rPr>
        <w:t xml:space="preserve"> </w:t>
      </w:r>
      <w:r w:rsidR="003E44C7" w:rsidRPr="003E44C7">
        <w:rPr>
          <w:rFonts w:cs="David" w:hint="cs"/>
          <w:sz w:val="24"/>
          <w:szCs w:val="24"/>
          <w:rtl/>
        </w:rPr>
        <w:t>הרבניים</w:t>
      </w:r>
      <w:r w:rsidR="003E44C7" w:rsidRPr="003E44C7">
        <w:rPr>
          <w:rFonts w:cs="David"/>
          <w:sz w:val="24"/>
          <w:szCs w:val="24"/>
          <w:rtl/>
        </w:rPr>
        <w:t xml:space="preserve"> </w:t>
      </w:r>
      <w:r w:rsidR="003E44C7" w:rsidRPr="003E44C7">
        <w:rPr>
          <w:rFonts w:cs="David" w:hint="cs"/>
          <w:sz w:val="24"/>
          <w:szCs w:val="24"/>
          <w:rtl/>
        </w:rPr>
        <w:t>מידי</w:t>
      </w:r>
      <w:r w:rsidR="003E44C7" w:rsidRPr="003E44C7">
        <w:rPr>
          <w:rFonts w:cs="David"/>
          <w:sz w:val="24"/>
          <w:szCs w:val="24"/>
          <w:rtl/>
        </w:rPr>
        <w:t xml:space="preserve"> </w:t>
      </w:r>
      <w:r w:rsidR="003E44C7" w:rsidRPr="003E44C7">
        <w:rPr>
          <w:rFonts w:cs="David" w:hint="cs"/>
          <w:sz w:val="24"/>
          <w:szCs w:val="24"/>
          <w:rtl/>
        </w:rPr>
        <w:t>שנה</w:t>
      </w:r>
      <w:r w:rsidR="003E44C7" w:rsidRPr="003E44C7">
        <w:rPr>
          <w:rFonts w:cs="David"/>
          <w:sz w:val="24"/>
          <w:szCs w:val="24"/>
          <w:rtl/>
        </w:rPr>
        <w:t xml:space="preserve"> </w:t>
      </w:r>
      <w:r w:rsidR="003E44C7" w:rsidRPr="003E44C7">
        <w:rPr>
          <w:rFonts w:cs="David" w:hint="cs"/>
          <w:sz w:val="24"/>
          <w:szCs w:val="24"/>
          <w:rtl/>
        </w:rPr>
        <w:t>עד</w:t>
      </w:r>
      <w:r w:rsidR="003E44C7" w:rsidRPr="003E44C7">
        <w:rPr>
          <w:rFonts w:cs="David"/>
          <w:sz w:val="24"/>
          <w:szCs w:val="24"/>
          <w:rtl/>
        </w:rPr>
        <w:t xml:space="preserve"> </w:t>
      </w:r>
      <w:r w:rsidR="003E44C7" w:rsidRPr="003E44C7">
        <w:rPr>
          <w:rFonts w:cs="David" w:hint="cs"/>
          <w:sz w:val="24"/>
          <w:szCs w:val="24"/>
          <w:rtl/>
        </w:rPr>
        <w:t>פסק</w:t>
      </w:r>
      <w:r w:rsidR="003E44C7" w:rsidRPr="003E44C7">
        <w:rPr>
          <w:rFonts w:cs="David"/>
          <w:sz w:val="24"/>
          <w:szCs w:val="24"/>
          <w:rtl/>
        </w:rPr>
        <w:t xml:space="preserve"> </w:t>
      </w:r>
      <w:r w:rsidR="003E44C7" w:rsidRPr="003E44C7">
        <w:rPr>
          <w:rFonts w:cs="David" w:hint="cs"/>
          <w:sz w:val="24"/>
          <w:szCs w:val="24"/>
          <w:rtl/>
        </w:rPr>
        <w:t>הדין</w:t>
      </w:r>
      <w:r w:rsidR="003E44C7" w:rsidRPr="003E44C7">
        <w:rPr>
          <w:rFonts w:cs="David"/>
          <w:sz w:val="24"/>
          <w:szCs w:val="24"/>
          <w:rtl/>
        </w:rPr>
        <w:t xml:space="preserve"> </w:t>
      </w:r>
      <w:r w:rsidR="003E44C7" w:rsidRPr="003E44C7">
        <w:rPr>
          <w:rFonts w:cs="David" w:hint="cs"/>
          <w:sz w:val="24"/>
          <w:szCs w:val="24"/>
          <w:rtl/>
        </w:rPr>
        <w:t>של</w:t>
      </w:r>
      <w:r w:rsidR="003E44C7" w:rsidRPr="003E44C7">
        <w:rPr>
          <w:rFonts w:cs="David"/>
          <w:sz w:val="24"/>
          <w:szCs w:val="24"/>
          <w:rtl/>
        </w:rPr>
        <w:t xml:space="preserve"> </w:t>
      </w:r>
      <w:r w:rsidR="003E44C7" w:rsidRPr="003E44C7">
        <w:rPr>
          <w:rFonts w:cs="David" w:hint="cs"/>
          <w:sz w:val="24"/>
          <w:szCs w:val="24"/>
          <w:rtl/>
        </w:rPr>
        <w:t>סימה</w:t>
      </w:r>
      <w:r w:rsidR="003E44C7" w:rsidRPr="003E44C7">
        <w:rPr>
          <w:rFonts w:cs="David"/>
          <w:sz w:val="24"/>
          <w:szCs w:val="24"/>
          <w:rtl/>
        </w:rPr>
        <w:t xml:space="preserve"> </w:t>
      </w:r>
      <w:r w:rsidR="003E44C7" w:rsidRPr="003E44C7">
        <w:rPr>
          <w:rFonts w:cs="David" w:hint="cs"/>
          <w:sz w:val="24"/>
          <w:szCs w:val="24"/>
          <w:rtl/>
        </w:rPr>
        <w:t>אמיר</w:t>
      </w:r>
      <w:r w:rsidR="003E44C7" w:rsidRPr="003E44C7">
        <w:rPr>
          <w:rFonts w:cs="David"/>
          <w:sz w:val="24"/>
          <w:szCs w:val="24"/>
          <w:rtl/>
        </w:rPr>
        <w:t xml:space="preserve">. </w:t>
      </w:r>
      <w:r w:rsidR="003E44C7" w:rsidRPr="003E44C7">
        <w:rPr>
          <w:rFonts w:cs="David" w:hint="cs"/>
          <w:sz w:val="24"/>
          <w:szCs w:val="24"/>
          <w:rtl/>
        </w:rPr>
        <w:t>זה</w:t>
      </w:r>
      <w:r w:rsidR="003E44C7" w:rsidRPr="003E44C7">
        <w:rPr>
          <w:rFonts w:cs="David"/>
          <w:sz w:val="24"/>
          <w:szCs w:val="24"/>
          <w:rtl/>
        </w:rPr>
        <w:t xml:space="preserve"> </w:t>
      </w:r>
      <w:r w:rsidR="003E44C7" w:rsidRPr="003E44C7">
        <w:rPr>
          <w:rFonts w:cs="David" w:hint="cs"/>
          <w:sz w:val="24"/>
          <w:szCs w:val="24"/>
          <w:rtl/>
        </w:rPr>
        <w:t>פחות</w:t>
      </w:r>
      <w:r w:rsidR="003E44C7" w:rsidRPr="003E44C7">
        <w:rPr>
          <w:rFonts w:cs="David"/>
          <w:sz w:val="24"/>
          <w:szCs w:val="24"/>
          <w:rtl/>
        </w:rPr>
        <w:t xml:space="preserve"> </w:t>
      </w:r>
      <w:r w:rsidR="003E44C7" w:rsidRPr="003E44C7">
        <w:rPr>
          <w:rFonts w:cs="David" w:hint="cs"/>
          <w:sz w:val="24"/>
          <w:szCs w:val="24"/>
          <w:rtl/>
        </w:rPr>
        <w:t>מ</w:t>
      </w:r>
      <w:r w:rsidR="003E44C7" w:rsidRPr="003E44C7">
        <w:rPr>
          <w:rFonts w:cs="David"/>
          <w:sz w:val="24"/>
          <w:szCs w:val="24"/>
          <w:rtl/>
        </w:rPr>
        <w:t xml:space="preserve">-1% </w:t>
      </w:r>
      <w:r w:rsidR="003E44C7" w:rsidRPr="003E44C7">
        <w:rPr>
          <w:rFonts w:cs="David" w:hint="cs"/>
          <w:sz w:val="24"/>
          <w:szCs w:val="24"/>
          <w:rtl/>
        </w:rPr>
        <w:t>מסך</w:t>
      </w:r>
      <w:r w:rsidR="003E44C7" w:rsidRPr="003E44C7">
        <w:rPr>
          <w:rFonts w:cs="David"/>
          <w:sz w:val="24"/>
          <w:szCs w:val="24"/>
          <w:rtl/>
        </w:rPr>
        <w:t xml:space="preserve"> </w:t>
      </w:r>
      <w:r w:rsidR="003E44C7" w:rsidRPr="003E44C7">
        <w:rPr>
          <w:rFonts w:cs="David" w:hint="cs"/>
          <w:sz w:val="24"/>
          <w:szCs w:val="24"/>
          <w:rtl/>
        </w:rPr>
        <w:t>התיקים</w:t>
      </w:r>
      <w:r w:rsidR="003E44C7" w:rsidRPr="003E44C7">
        <w:rPr>
          <w:rFonts w:cs="David"/>
          <w:sz w:val="24"/>
          <w:szCs w:val="24"/>
          <w:rtl/>
        </w:rPr>
        <w:t xml:space="preserve"> </w:t>
      </w:r>
      <w:r w:rsidR="003E44C7" w:rsidRPr="003E44C7">
        <w:rPr>
          <w:rFonts w:cs="David" w:hint="cs"/>
          <w:sz w:val="24"/>
          <w:szCs w:val="24"/>
          <w:rtl/>
        </w:rPr>
        <w:t>הנידונים</w:t>
      </w:r>
      <w:r w:rsidR="003E44C7" w:rsidRPr="003E44C7">
        <w:rPr>
          <w:rFonts w:cs="David"/>
          <w:sz w:val="24"/>
          <w:szCs w:val="24"/>
          <w:rtl/>
        </w:rPr>
        <w:t xml:space="preserve"> </w:t>
      </w:r>
      <w:r w:rsidR="003E44C7" w:rsidRPr="003E44C7">
        <w:rPr>
          <w:rFonts w:cs="David" w:hint="cs"/>
          <w:sz w:val="24"/>
          <w:szCs w:val="24"/>
          <w:rtl/>
        </w:rPr>
        <w:t>בבתי</w:t>
      </w:r>
      <w:r w:rsidR="003E44C7" w:rsidRPr="003E44C7">
        <w:rPr>
          <w:rFonts w:cs="David"/>
          <w:sz w:val="24"/>
          <w:szCs w:val="24"/>
          <w:rtl/>
        </w:rPr>
        <w:t xml:space="preserve"> </w:t>
      </w:r>
      <w:r w:rsidR="003E44C7" w:rsidRPr="003E44C7">
        <w:rPr>
          <w:rFonts w:cs="David" w:hint="cs"/>
          <w:sz w:val="24"/>
          <w:szCs w:val="24"/>
          <w:rtl/>
        </w:rPr>
        <w:t>הדין</w:t>
      </w:r>
      <w:r w:rsidR="003E44C7">
        <w:rPr>
          <w:rFonts w:cs="David"/>
          <w:sz w:val="24"/>
          <w:szCs w:val="24"/>
          <w:rtl/>
        </w:rPr>
        <w:t>.</w:t>
      </w:r>
      <w:r w:rsidR="003E44C7">
        <w:rPr>
          <w:rFonts w:cs="David" w:hint="cs"/>
          <w:sz w:val="24"/>
          <w:szCs w:val="24"/>
          <w:rtl/>
        </w:rPr>
        <w:t>...".</w:t>
      </w:r>
    </w:p>
    <w:p w:rsidR="005C6C36" w:rsidRDefault="003E44C7" w:rsidP="000C1C52">
      <w:pPr>
        <w:spacing w:line="360" w:lineRule="auto"/>
        <w:jc w:val="both"/>
        <w:rPr>
          <w:rFonts w:cs="David"/>
          <w:sz w:val="24"/>
          <w:szCs w:val="24"/>
          <w:rtl/>
        </w:rPr>
      </w:pPr>
      <w:r>
        <w:rPr>
          <w:rFonts w:cs="David" w:hint="cs"/>
          <w:sz w:val="24"/>
          <w:szCs w:val="24"/>
          <w:rtl/>
        </w:rPr>
        <w:t xml:space="preserve">דברים אלו מחייבים שימת לב ודקדוק רב. </w:t>
      </w:r>
    </w:p>
    <w:p w:rsidR="005C6C36" w:rsidRDefault="003E44C7" w:rsidP="000C1C52">
      <w:pPr>
        <w:spacing w:line="360" w:lineRule="auto"/>
        <w:jc w:val="both"/>
        <w:rPr>
          <w:rFonts w:cs="David"/>
          <w:sz w:val="24"/>
          <w:szCs w:val="24"/>
          <w:rtl/>
        </w:rPr>
      </w:pPr>
      <w:r>
        <w:rPr>
          <w:rFonts w:cs="David" w:hint="cs"/>
          <w:sz w:val="24"/>
          <w:szCs w:val="24"/>
          <w:rtl/>
        </w:rPr>
        <w:t xml:space="preserve">ראשית, ברור מהדברים כי גם מנכ"ל בתי הדין הרבניים </w:t>
      </w:r>
      <w:r w:rsidR="000C1C52">
        <w:rPr>
          <w:rFonts w:cs="David" w:hint="cs"/>
          <w:sz w:val="24"/>
          <w:szCs w:val="24"/>
          <w:rtl/>
        </w:rPr>
        <w:t xml:space="preserve">יודע כי תידרש תוספת תקציב לצורך יישום החוק, אך </w:t>
      </w:r>
      <w:r w:rsidR="000C1C52" w:rsidRPr="000C1C52">
        <w:rPr>
          <w:rFonts w:cs="David" w:hint="cs"/>
          <w:b/>
          <w:bCs/>
          <w:sz w:val="24"/>
          <w:szCs w:val="24"/>
          <w:u w:val="single"/>
          <w:rtl/>
        </w:rPr>
        <w:t>כרגע</w:t>
      </w:r>
      <w:r w:rsidR="000C1C52">
        <w:rPr>
          <w:rFonts w:cs="David" w:hint="cs"/>
          <w:sz w:val="24"/>
          <w:szCs w:val="24"/>
          <w:rtl/>
        </w:rPr>
        <w:t xml:space="preserve">, ולו בשביל שניתן יהיה להעביר את החוק בתי הדין הרבניים יאלצו להסתדר גם בלא תוספת זו. </w:t>
      </w:r>
      <w:r>
        <w:rPr>
          <w:rFonts w:cs="David" w:hint="cs"/>
          <w:sz w:val="24"/>
          <w:szCs w:val="24"/>
          <w:rtl/>
        </w:rPr>
        <w:t xml:space="preserve"> </w:t>
      </w:r>
    </w:p>
    <w:p w:rsidR="000A666B" w:rsidRDefault="000C1C52" w:rsidP="005C6C36">
      <w:pPr>
        <w:spacing w:line="360" w:lineRule="auto"/>
        <w:jc w:val="both"/>
        <w:rPr>
          <w:rFonts w:cs="David"/>
          <w:sz w:val="24"/>
          <w:szCs w:val="24"/>
          <w:rtl/>
        </w:rPr>
      </w:pPr>
      <w:r>
        <w:rPr>
          <w:rFonts w:cs="David" w:hint="cs"/>
          <w:sz w:val="24"/>
          <w:szCs w:val="24"/>
          <w:rtl/>
        </w:rPr>
        <w:t xml:space="preserve">שנית, הצגת הנתונים של היקף תוספת התיקים מטעה ואינה נותנת תמונה אמיתית באשר לתוספת העומס הצפויה למערכת. אף אם הנתונים שהובאו אכן יתממשו במציאות, והתוספת להיקף העבודה תהיה כ </w:t>
      </w:r>
      <w:r>
        <w:rPr>
          <w:rFonts w:cs="David"/>
          <w:sz w:val="24"/>
          <w:szCs w:val="24"/>
          <w:rtl/>
        </w:rPr>
        <w:t>–</w:t>
      </w:r>
      <w:r>
        <w:rPr>
          <w:rFonts w:cs="David" w:hint="cs"/>
          <w:sz w:val="24"/>
          <w:szCs w:val="24"/>
          <w:rtl/>
        </w:rPr>
        <w:t xml:space="preserve"> 700 תיקים בלבד, יש ל</w:t>
      </w:r>
      <w:r w:rsidR="005C6C36">
        <w:rPr>
          <w:rFonts w:cs="David" w:hint="cs"/>
          <w:sz w:val="24"/>
          <w:szCs w:val="24"/>
          <w:rtl/>
        </w:rPr>
        <w:t>דעת</w:t>
      </w:r>
      <w:r>
        <w:rPr>
          <w:rFonts w:cs="David" w:hint="cs"/>
          <w:sz w:val="24"/>
          <w:szCs w:val="24"/>
          <w:rtl/>
        </w:rPr>
        <w:t xml:space="preserve"> כי </w:t>
      </w:r>
      <w:r w:rsidR="005C6C36">
        <w:rPr>
          <w:rFonts w:cs="David" w:hint="cs"/>
          <w:sz w:val="24"/>
          <w:szCs w:val="24"/>
          <w:rtl/>
        </w:rPr>
        <w:t xml:space="preserve">מדובר בהרבה יותר מאחוז מכלל התיקים בהם מתקיימים דיונים בבתי הדין, שכן כלל התיקים הנספרים כוללים עשרות אלפי תיקים שבהם הפעילות המשפטית אינה ממשית, כדוגמת תיקים לאישור הסכם, תיקים לישוב סכסוך, תיקים לצווים שונים וכד'. </w:t>
      </w:r>
    </w:p>
    <w:p w:rsidR="003E44C7" w:rsidRDefault="000A666B" w:rsidP="00146120">
      <w:pPr>
        <w:spacing w:line="360" w:lineRule="auto"/>
        <w:jc w:val="both"/>
        <w:rPr>
          <w:rFonts w:cs="David"/>
          <w:sz w:val="24"/>
          <w:szCs w:val="24"/>
          <w:rtl/>
        </w:rPr>
      </w:pPr>
      <w:r>
        <w:rPr>
          <w:rFonts w:cs="David" w:hint="cs"/>
          <w:sz w:val="24"/>
          <w:szCs w:val="24"/>
          <w:rtl/>
        </w:rPr>
        <w:t xml:space="preserve">לשם ההמחשה, מנתוני הנהלת בתי הדין שפורסמו לסיכום שנת 2016, עולה כי כ- 9800 תיקים עניינם הסכמי גירושין, כ- 3500 תיקים עניינם ישוב סכסוך, ועוד </w:t>
      </w:r>
      <w:r w:rsidR="00146120">
        <w:rPr>
          <w:rFonts w:cs="David" w:hint="cs"/>
          <w:sz w:val="24"/>
          <w:szCs w:val="24"/>
          <w:rtl/>
        </w:rPr>
        <w:t xml:space="preserve">אלפי </w:t>
      </w:r>
      <w:r>
        <w:rPr>
          <w:rFonts w:cs="David" w:hint="cs"/>
          <w:sz w:val="24"/>
          <w:szCs w:val="24"/>
          <w:rtl/>
        </w:rPr>
        <w:t xml:space="preserve">תיקים נוספים עניינם בנושאים שאינם על ריב, ואינם מהווים חלק משמעותי מנפח הפעילות של בתי הדין. לעומת זאת, עניינים אזרחיים שאמורים להתווסף לפעילות בתי הדין </w:t>
      </w:r>
      <w:r w:rsidR="00146120">
        <w:rPr>
          <w:rFonts w:cs="David" w:hint="cs"/>
          <w:sz w:val="24"/>
          <w:szCs w:val="24"/>
          <w:rtl/>
        </w:rPr>
        <w:t xml:space="preserve">מכוח הצעת החוק </w:t>
      </w:r>
      <w:r>
        <w:rPr>
          <w:rFonts w:cs="David" w:hint="cs"/>
          <w:sz w:val="24"/>
          <w:szCs w:val="24"/>
          <w:rtl/>
        </w:rPr>
        <w:t xml:space="preserve">הינם עניינים שעל ריב </w:t>
      </w:r>
      <w:r w:rsidR="00F60278">
        <w:rPr>
          <w:rFonts w:cs="David" w:hint="cs"/>
          <w:sz w:val="24"/>
          <w:szCs w:val="24"/>
          <w:rtl/>
        </w:rPr>
        <w:t xml:space="preserve">אשר </w:t>
      </w:r>
      <w:r>
        <w:rPr>
          <w:rFonts w:cs="David" w:hint="cs"/>
          <w:sz w:val="24"/>
          <w:szCs w:val="24"/>
          <w:rtl/>
        </w:rPr>
        <w:t xml:space="preserve">גוזלים זמן </w:t>
      </w:r>
      <w:r w:rsidR="00146120">
        <w:rPr>
          <w:rFonts w:cs="David" w:hint="cs"/>
          <w:sz w:val="24"/>
          <w:szCs w:val="24"/>
          <w:rtl/>
        </w:rPr>
        <w:t xml:space="preserve">שיפוטי </w:t>
      </w:r>
      <w:r>
        <w:rPr>
          <w:rFonts w:cs="David" w:hint="cs"/>
          <w:sz w:val="24"/>
          <w:szCs w:val="24"/>
          <w:rtl/>
        </w:rPr>
        <w:t>רב ויקר מהערכאות השיפוטיות</w:t>
      </w:r>
      <w:r w:rsidR="00F60278">
        <w:rPr>
          <w:rFonts w:cs="David" w:hint="cs"/>
          <w:sz w:val="24"/>
          <w:szCs w:val="24"/>
          <w:rtl/>
        </w:rPr>
        <w:t xml:space="preserve"> הדנות בהם</w:t>
      </w:r>
      <w:r>
        <w:rPr>
          <w:rFonts w:cs="David" w:hint="cs"/>
          <w:sz w:val="24"/>
          <w:szCs w:val="24"/>
          <w:rtl/>
        </w:rPr>
        <w:t>.</w:t>
      </w:r>
    </w:p>
    <w:p w:rsidR="009E58E9" w:rsidRDefault="009E58E9" w:rsidP="00146120">
      <w:pPr>
        <w:spacing w:line="360" w:lineRule="auto"/>
        <w:jc w:val="both"/>
        <w:rPr>
          <w:rFonts w:cs="David"/>
          <w:sz w:val="24"/>
          <w:szCs w:val="24"/>
          <w:rtl/>
        </w:rPr>
      </w:pPr>
      <w:r>
        <w:rPr>
          <w:rFonts w:cs="David" w:hint="cs"/>
          <w:sz w:val="24"/>
          <w:szCs w:val="24"/>
          <w:rtl/>
        </w:rPr>
        <w:t>נוכח האמור, וחרף הרצון העז של גורמים שונים להעביר את הצעת החוק ויהי מה, חובה על חברי הועדה לשקול היטב את הנתונים שהובאו אל מול המציאות, ולא להעביר את הצעת החוק בלא תוספת תקציבית מתאימה אשר תבטיח כי ציבור המתדיינים בבתי הדין הרבניים מתוקף הסמכויות הקיימות כעט לא יפגעו.</w:t>
      </w:r>
    </w:p>
    <w:p w:rsidR="009D3126" w:rsidRDefault="009D3126" w:rsidP="00E05294">
      <w:pPr>
        <w:spacing w:line="360" w:lineRule="auto"/>
        <w:jc w:val="both"/>
        <w:rPr>
          <w:rFonts w:cs="David"/>
          <w:sz w:val="24"/>
          <w:szCs w:val="24"/>
          <w:rtl/>
        </w:rPr>
      </w:pPr>
    </w:p>
    <w:p w:rsidR="009D3126" w:rsidRDefault="009D3126" w:rsidP="00E05294">
      <w:pPr>
        <w:spacing w:line="360" w:lineRule="auto"/>
        <w:jc w:val="both"/>
        <w:rPr>
          <w:rFonts w:cs="David"/>
          <w:sz w:val="24"/>
          <w:szCs w:val="24"/>
          <w:rtl/>
        </w:rPr>
      </w:pPr>
    </w:p>
    <w:sectPr w:rsidR="009D3126" w:rsidSect="003E44C7">
      <w:headerReference w:type="default" r:id="rId7"/>
      <w:footerReference w:type="even" r:id="rId8"/>
      <w:pgSz w:w="11906" w:h="16838"/>
      <w:pgMar w:top="2694" w:right="1416"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470D" w:rsidRDefault="0055470D" w:rsidP="007D58EA">
      <w:pPr>
        <w:spacing w:after="0" w:line="240" w:lineRule="auto"/>
      </w:pPr>
      <w:r>
        <w:separator/>
      </w:r>
    </w:p>
  </w:endnote>
  <w:endnote w:type="continuationSeparator" w:id="0">
    <w:p w:rsidR="0055470D" w:rsidRDefault="0055470D" w:rsidP="007D5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8EA" w:rsidRDefault="000D0850">
    <w:pPr>
      <w:pStyle w:val="a5"/>
    </w:pPr>
    <w:r>
      <w:rPr>
        <w:noProof/>
      </w:rPr>
      <w:drawing>
        <wp:inline distT="0" distB="0" distL="0" distR="0">
          <wp:extent cx="5276850" cy="981075"/>
          <wp:effectExtent l="0" t="0" r="0" b="9525"/>
          <wp:docPr id="2" name="תמונה 1" descr="תחתית נייר מכתבי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תחתית נייר מכתבים"/>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6850" cy="981075"/>
                  </a:xfrm>
                  <a:prstGeom prst="rect">
                    <a:avLst/>
                  </a:prstGeom>
                  <a:noFill/>
                  <a:ln>
                    <a:noFill/>
                  </a:ln>
                </pic:spPr>
              </pic:pic>
            </a:graphicData>
          </a:graphic>
        </wp:inline>
      </w:drawing>
    </w:r>
    <w:r w:rsidR="007D58EA">
      <w:rPr>
        <w:noProof/>
      </w:rPr>
      <w:drawing>
        <wp:inline distT="0" distB="0" distL="0" distR="0" wp14:anchorId="2CB05614" wp14:editId="03E3086C">
          <wp:extent cx="5276850" cy="971550"/>
          <wp:effectExtent l="0" t="0" r="0" b="0"/>
          <wp:docPr id="1" name="תמונה 1" descr="C:\Users\יעל\Desktop\תחתית נייר מכתב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יעל\Desktop\תחתית נייר מכתבים.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6850" cy="9715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470D" w:rsidRDefault="0055470D" w:rsidP="007D58EA">
      <w:pPr>
        <w:spacing w:after="0" w:line="240" w:lineRule="auto"/>
      </w:pPr>
      <w:r>
        <w:separator/>
      </w:r>
    </w:p>
  </w:footnote>
  <w:footnote w:type="continuationSeparator" w:id="0">
    <w:p w:rsidR="0055470D" w:rsidRDefault="0055470D" w:rsidP="007D58EA">
      <w:pPr>
        <w:spacing w:after="0" w:line="240" w:lineRule="auto"/>
      </w:pPr>
      <w:r>
        <w:continuationSeparator/>
      </w:r>
    </w:p>
  </w:footnote>
  <w:footnote w:id="1">
    <w:p w:rsidR="00563CD4" w:rsidRDefault="00563CD4">
      <w:pPr>
        <w:pStyle w:val="a9"/>
      </w:pPr>
      <w:r>
        <w:rPr>
          <w:rStyle w:val="ab"/>
        </w:rPr>
        <w:footnoteRef/>
      </w:r>
      <w:r>
        <w:rPr>
          <w:rtl/>
        </w:rPr>
        <w:t xml:space="preserve"> </w:t>
      </w:r>
      <w:r>
        <w:rPr>
          <w:rFonts w:hint="cs"/>
          <w:rtl/>
        </w:rPr>
        <w:t xml:space="preserve">בג"צ 8638/03 </w:t>
      </w:r>
      <w:r w:rsidRPr="00563CD4">
        <w:rPr>
          <w:rFonts w:hint="cs"/>
          <w:b/>
          <w:bCs/>
          <w:rtl/>
        </w:rPr>
        <w:t>אמיר נ' בית הדין הגדול</w:t>
      </w:r>
      <w:r>
        <w:rPr>
          <w:rFonts w:hint="cs"/>
          <w:rtl/>
        </w:rPr>
        <w:t>, פ"ד סא(1) 259.</w:t>
      </w:r>
    </w:p>
  </w:footnote>
  <w:footnote w:id="2">
    <w:p w:rsidR="00E67191" w:rsidRDefault="00E67191">
      <w:pPr>
        <w:pStyle w:val="a9"/>
      </w:pPr>
      <w:r>
        <w:rPr>
          <w:rStyle w:val="ab"/>
        </w:rPr>
        <w:footnoteRef/>
      </w:r>
      <w:r>
        <w:rPr>
          <w:rtl/>
        </w:rPr>
        <w:t xml:space="preserve"> </w:t>
      </w:r>
      <w:r>
        <w:rPr>
          <w:rFonts w:hint="cs"/>
          <w:rtl/>
        </w:rPr>
        <w:t>פורסם באתר החדשות החרדי, "כיכר השבת", בכתבה מיום 05/12/17.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8EA" w:rsidRDefault="000D0850" w:rsidP="007D58EA">
    <w:pPr>
      <w:pStyle w:val="a3"/>
      <w:jc w:val="center"/>
    </w:pPr>
    <w:r>
      <w:rPr>
        <w:noProof/>
      </w:rPr>
      <w:drawing>
        <wp:anchor distT="0" distB="0" distL="114300" distR="114300" simplePos="0" relativeHeight="251662336" behindDoc="0" locked="0" layoutInCell="1" allowOverlap="1">
          <wp:simplePos x="0" y="0"/>
          <wp:positionH relativeFrom="page">
            <wp:posOffset>360045</wp:posOffset>
          </wp:positionH>
          <wp:positionV relativeFrom="page">
            <wp:posOffset>360045</wp:posOffset>
          </wp:positionV>
          <wp:extent cx="6840220" cy="1197610"/>
          <wp:effectExtent l="0" t="0" r="0" b="2540"/>
          <wp:wrapNone/>
          <wp:docPr id="3" name="תמונה 2" descr="ראש נייר מכתבי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ראש נייר מכתבים"/>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19761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8EA"/>
    <w:rsid w:val="00047006"/>
    <w:rsid w:val="000A666B"/>
    <w:rsid w:val="000B78E0"/>
    <w:rsid w:val="000C1C52"/>
    <w:rsid w:val="000D0850"/>
    <w:rsid w:val="000D1CCB"/>
    <w:rsid w:val="0013427F"/>
    <w:rsid w:val="00146120"/>
    <w:rsid w:val="00167F85"/>
    <w:rsid w:val="001B22F7"/>
    <w:rsid w:val="0020168E"/>
    <w:rsid w:val="002033F5"/>
    <w:rsid w:val="00265CA6"/>
    <w:rsid w:val="002C2711"/>
    <w:rsid w:val="00364E97"/>
    <w:rsid w:val="00371B1D"/>
    <w:rsid w:val="003D5D70"/>
    <w:rsid w:val="003E44C7"/>
    <w:rsid w:val="003F55CE"/>
    <w:rsid w:val="00433695"/>
    <w:rsid w:val="005363B3"/>
    <w:rsid w:val="0055470D"/>
    <w:rsid w:val="00563CD4"/>
    <w:rsid w:val="005C6C36"/>
    <w:rsid w:val="005D050C"/>
    <w:rsid w:val="006458E2"/>
    <w:rsid w:val="00773923"/>
    <w:rsid w:val="00773CB0"/>
    <w:rsid w:val="00782260"/>
    <w:rsid w:val="007D58EA"/>
    <w:rsid w:val="0080784B"/>
    <w:rsid w:val="00823742"/>
    <w:rsid w:val="00834417"/>
    <w:rsid w:val="008C3D16"/>
    <w:rsid w:val="009012BB"/>
    <w:rsid w:val="009D3126"/>
    <w:rsid w:val="009E58E9"/>
    <w:rsid w:val="00A0246C"/>
    <w:rsid w:val="00A10D8D"/>
    <w:rsid w:val="00A803E7"/>
    <w:rsid w:val="00AB3B6A"/>
    <w:rsid w:val="00B5222C"/>
    <w:rsid w:val="00B9718D"/>
    <w:rsid w:val="00BC644A"/>
    <w:rsid w:val="00BE541C"/>
    <w:rsid w:val="00CA3AA1"/>
    <w:rsid w:val="00CF300D"/>
    <w:rsid w:val="00D5144A"/>
    <w:rsid w:val="00D757DA"/>
    <w:rsid w:val="00DC21AA"/>
    <w:rsid w:val="00E041BC"/>
    <w:rsid w:val="00E05294"/>
    <w:rsid w:val="00E2449B"/>
    <w:rsid w:val="00E67191"/>
    <w:rsid w:val="00F038AF"/>
    <w:rsid w:val="00F26A97"/>
    <w:rsid w:val="00F6027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119EA5F7-1110-4D4B-A608-D803145B6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58EA"/>
    <w:pPr>
      <w:tabs>
        <w:tab w:val="center" w:pos="4153"/>
        <w:tab w:val="right" w:pos="8306"/>
      </w:tabs>
      <w:spacing w:after="0" w:line="240" w:lineRule="auto"/>
    </w:pPr>
  </w:style>
  <w:style w:type="character" w:customStyle="1" w:styleId="a4">
    <w:name w:val="כותרת עליונה תו"/>
    <w:basedOn w:val="a0"/>
    <w:link w:val="a3"/>
    <w:uiPriority w:val="99"/>
    <w:rsid w:val="007D58EA"/>
  </w:style>
  <w:style w:type="paragraph" w:styleId="a5">
    <w:name w:val="footer"/>
    <w:basedOn w:val="a"/>
    <w:link w:val="a6"/>
    <w:uiPriority w:val="99"/>
    <w:unhideWhenUsed/>
    <w:rsid w:val="007D58EA"/>
    <w:pPr>
      <w:tabs>
        <w:tab w:val="center" w:pos="4153"/>
        <w:tab w:val="right" w:pos="8306"/>
      </w:tabs>
      <w:spacing w:after="0" w:line="240" w:lineRule="auto"/>
    </w:pPr>
  </w:style>
  <w:style w:type="character" w:customStyle="1" w:styleId="a6">
    <w:name w:val="כותרת תחתונה תו"/>
    <w:basedOn w:val="a0"/>
    <w:link w:val="a5"/>
    <w:uiPriority w:val="99"/>
    <w:rsid w:val="007D58EA"/>
  </w:style>
  <w:style w:type="paragraph" w:styleId="a7">
    <w:name w:val="Balloon Text"/>
    <w:basedOn w:val="a"/>
    <w:link w:val="a8"/>
    <w:uiPriority w:val="99"/>
    <w:semiHidden/>
    <w:unhideWhenUsed/>
    <w:rsid w:val="00047006"/>
    <w:pPr>
      <w:spacing w:after="0" w:line="240" w:lineRule="auto"/>
    </w:pPr>
    <w:rPr>
      <w:rFonts w:ascii="Tahoma" w:hAnsi="Tahoma" w:cs="Tahoma"/>
      <w:sz w:val="18"/>
      <w:szCs w:val="18"/>
    </w:rPr>
  </w:style>
  <w:style w:type="character" w:customStyle="1" w:styleId="a8">
    <w:name w:val="טקסט בלונים תו"/>
    <w:basedOn w:val="a0"/>
    <w:link w:val="a7"/>
    <w:uiPriority w:val="99"/>
    <w:semiHidden/>
    <w:rsid w:val="00047006"/>
    <w:rPr>
      <w:rFonts w:ascii="Tahoma" w:hAnsi="Tahoma" w:cs="Tahoma"/>
      <w:sz w:val="18"/>
      <w:szCs w:val="18"/>
    </w:rPr>
  </w:style>
  <w:style w:type="paragraph" w:styleId="a9">
    <w:name w:val="footnote text"/>
    <w:basedOn w:val="a"/>
    <w:link w:val="aa"/>
    <w:uiPriority w:val="99"/>
    <w:semiHidden/>
    <w:unhideWhenUsed/>
    <w:rsid w:val="00563CD4"/>
    <w:pPr>
      <w:spacing w:after="0" w:line="240" w:lineRule="auto"/>
    </w:pPr>
    <w:rPr>
      <w:sz w:val="20"/>
      <w:szCs w:val="20"/>
    </w:rPr>
  </w:style>
  <w:style w:type="character" w:customStyle="1" w:styleId="aa">
    <w:name w:val="טקסט הערת שוליים תו"/>
    <w:basedOn w:val="a0"/>
    <w:link w:val="a9"/>
    <w:uiPriority w:val="99"/>
    <w:semiHidden/>
    <w:rsid w:val="00563CD4"/>
    <w:rPr>
      <w:sz w:val="20"/>
      <w:szCs w:val="20"/>
    </w:rPr>
  </w:style>
  <w:style w:type="character" w:styleId="ab">
    <w:name w:val="footnote reference"/>
    <w:basedOn w:val="a0"/>
    <w:uiPriority w:val="99"/>
    <w:semiHidden/>
    <w:unhideWhenUsed/>
    <w:rsid w:val="00563C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880CA8-45F6-4225-9EAC-5C989724FC62}">
  <ds:schemaRefs>
    <ds:schemaRef ds:uri="http://schemas.openxmlformats.org/officeDocument/2006/bibliography"/>
  </ds:schemaRefs>
</ds:datastoreItem>
</file>

<file path=customXml/itemProps2.xml><?xml version="1.0" encoding="utf-8"?>
<ds:datastoreItem xmlns:ds="http://schemas.openxmlformats.org/officeDocument/2006/customXml" ds:itemID="{721C16F7-6444-447E-AA49-9D15BF4E36EA}"/>
</file>

<file path=customXml/itemProps3.xml><?xml version="1.0" encoding="utf-8"?>
<ds:datastoreItem xmlns:ds="http://schemas.openxmlformats.org/officeDocument/2006/customXml" ds:itemID="{B0385C97-95FA-4ED7-A572-75721DFF6E4F}"/>
</file>

<file path=customXml/itemProps4.xml><?xml version="1.0" encoding="utf-8"?>
<ds:datastoreItem xmlns:ds="http://schemas.openxmlformats.org/officeDocument/2006/customXml" ds:itemID="{9712F7D5-DBBA-448A-A8F3-2E73FDD1493E}"/>
</file>

<file path=docProps/app.xml><?xml version="1.0" encoding="utf-8"?>
<Properties xmlns="http://schemas.openxmlformats.org/officeDocument/2006/extended-properties" xmlns:vt="http://schemas.openxmlformats.org/officeDocument/2006/docPropsVTypes">
  <Template>Normal</Template>
  <TotalTime>1</TotalTime>
  <Pages>2</Pages>
  <Words>628</Words>
  <Characters>3140</Characters>
  <Application>Microsoft Office Word</Application>
  <DocSecurity>4</DocSecurity>
  <Lines>26</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Yaron'S Team</Company>
  <LinksUpToDate>false</LinksUpToDate>
  <CharactersWithSpaces>3761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יעל</dc:creator>
  <cp:lastModifiedBy>חופית עלפי</cp:lastModifiedBy>
  <cp:revision>2</cp:revision>
  <cp:lastPrinted>2017-09-24T08:47:00Z</cp:lastPrinted>
  <dcterms:created xsi:type="dcterms:W3CDTF">2018-02-04T07:31:00Z</dcterms:created>
  <dcterms:modified xsi:type="dcterms:W3CDTF">2018-02-04T07:31:00Z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2064862</vt:r8>
  </property>
</Properties>
</file>