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24FB" w:rsidRDefault="00DB51E4">
      <w:pPr>
        <w:rPr>
          <w:b/>
          <w:bCs/>
          <w:u w:val="single"/>
          <w:rtl/>
        </w:rPr>
      </w:pPr>
      <w:bookmarkStart w:id="0" w:name="_GoBack"/>
      <w:bookmarkEnd w:id="0"/>
      <w:r w:rsidRPr="000B24FB">
        <w:rPr>
          <w:rFonts w:hint="cs"/>
          <w:b/>
          <w:bCs/>
          <w:u w:val="single"/>
          <w:rtl/>
        </w:rPr>
        <w:t>הערות ערוץ 9 לנוסח המעודכן של החעת חוק ההרשות השנייה לטלוויזיה ורדיו (תיקון מס' 44)</w:t>
      </w:r>
      <w:r w:rsidR="000B24FB" w:rsidRPr="000B24FB">
        <w:rPr>
          <w:rFonts w:hint="cs"/>
          <w:b/>
          <w:bCs/>
          <w:u w:val="single"/>
          <w:rtl/>
        </w:rPr>
        <w:t>, תשע"ח- 2018</w:t>
      </w:r>
    </w:p>
    <w:p w:rsidR="000B24FB" w:rsidRPr="000B24FB" w:rsidRDefault="000B24FB">
      <w:pPr>
        <w:rPr>
          <w:u w:val="single"/>
          <w:rtl/>
        </w:rPr>
      </w:pPr>
    </w:p>
    <w:p w:rsidR="001B225E" w:rsidRPr="001B225E" w:rsidRDefault="001B225E" w:rsidP="001B225E">
      <w:pPr>
        <w:pStyle w:val="a3"/>
        <w:numPr>
          <w:ilvl w:val="0"/>
          <w:numId w:val="1"/>
        </w:numPr>
        <w:ind w:left="714" w:hanging="357"/>
        <w:jc w:val="both"/>
        <w:rPr>
          <w:u w:val="single"/>
        </w:rPr>
      </w:pPr>
      <w:r w:rsidRPr="001B225E">
        <w:rPr>
          <w:rFonts w:hint="cs"/>
          <w:u w:val="single"/>
          <w:rtl/>
        </w:rPr>
        <w:t>סעיף 2 להצעת החוק המתקן - סעיף 5</w:t>
      </w:r>
      <w:r w:rsidRPr="001B225E">
        <w:rPr>
          <w:rFonts w:hint="cs"/>
          <w:b/>
          <w:bCs/>
          <w:u w:val="single"/>
          <w:rtl/>
        </w:rPr>
        <w:t xml:space="preserve"> </w:t>
      </w:r>
      <w:r w:rsidRPr="001B225E">
        <w:rPr>
          <w:rFonts w:hint="cs"/>
          <w:u w:val="single"/>
          <w:rtl/>
        </w:rPr>
        <w:t>לחוק</w:t>
      </w:r>
      <w:r w:rsidRPr="001B225E">
        <w:rPr>
          <w:rFonts w:hint="cs"/>
          <w:rtl/>
        </w:rPr>
        <w:t xml:space="preserve"> </w:t>
      </w:r>
      <w:r w:rsidRPr="001B225E">
        <w:rPr>
          <w:rtl/>
        </w:rPr>
        <w:t>–</w:t>
      </w:r>
      <w:r w:rsidRPr="001B225E">
        <w:rPr>
          <w:rFonts w:hint="cs"/>
          <w:rtl/>
        </w:rPr>
        <w:t xml:space="preserve"> מוצע להשאיר את סעיף 5(ב)(9) הקיים ("לקיום שידורים בשפות זרות לעולים חדשים ולתיירים").  </w:t>
      </w:r>
    </w:p>
    <w:p w:rsidR="001B225E" w:rsidRDefault="001B225E" w:rsidP="001B225E">
      <w:pPr>
        <w:pStyle w:val="a3"/>
        <w:ind w:left="714"/>
        <w:contextualSpacing w:val="0"/>
        <w:jc w:val="both"/>
        <w:rPr>
          <w:rtl/>
        </w:rPr>
      </w:pPr>
      <w:r w:rsidRPr="001B225E">
        <w:rPr>
          <w:rFonts w:hint="cs"/>
          <w:rtl/>
        </w:rPr>
        <w:t>יש ערוצים יעודיים שאינם מתכוונים בהכרח לעבור לשידור בעברית.  הותרת סעיף זה עשוייה לאפשר למועצת הרשות להסדיר את פעילותם העתידית של בעלי רישיונות זעירים בשפות זרות, למי שיחפוץ בכך. ממילא מדובר בסעיף הסמכה ולא בהוראה אופרטיבית המחייבת הטלת חובות כאלה על בעלי רשיון המשדרים בעברית.</w:t>
      </w:r>
      <w:r w:rsidRPr="000B24FB">
        <w:rPr>
          <w:rFonts w:hint="cs"/>
          <w:rtl/>
        </w:rPr>
        <w:t xml:space="preserve"> </w:t>
      </w:r>
      <w:r>
        <w:rPr>
          <w:rFonts w:hint="cs"/>
          <w:rtl/>
        </w:rPr>
        <w:t xml:space="preserve"> </w:t>
      </w:r>
    </w:p>
    <w:p w:rsidR="00AE142C" w:rsidRPr="00CD12CE" w:rsidRDefault="00CE2E93" w:rsidP="00FD3468">
      <w:pPr>
        <w:pStyle w:val="a3"/>
        <w:numPr>
          <w:ilvl w:val="0"/>
          <w:numId w:val="1"/>
        </w:numPr>
        <w:ind w:left="714" w:hanging="357"/>
        <w:contextualSpacing w:val="0"/>
        <w:jc w:val="both"/>
        <w:rPr>
          <w:u w:val="single"/>
        </w:rPr>
      </w:pPr>
      <w:r>
        <w:rPr>
          <w:rFonts w:hint="cs"/>
          <w:u w:val="single"/>
          <w:rtl/>
        </w:rPr>
        <w:t xml:space="preserve">סעיף 6 להצעת החוק המתקן - </w:t>
      </w:r>
      <w:r w:rsidR="00CD12CE">
        <w:rPr>
          <w:rFonts w:hint="cs"/>
          <w:u w:val="single"/>
          <w:rtl/>
        </w:rPr>
        <w:t>סעיף 33א</w:t>
      </w:r>
      <w:r>
        <w:rPr>
          <w:rFonts w:hint="cs"/>
          <w:rtl/>
        </w:rPr>
        <w:t xml:space="preserve"> לחוק </w:t>
      </w:r>
      <w:r w:rsidR="00FD3468">
        <w:rPr>
          <w:rtl/>
        </w:rPr>
        <w:t>–</w:t>
      </w:r>
      <w:r w:rsidR="00CD12CE">
        <w:rPr>
          <w:rFonts w:hint="cs"/>
          <w:rtl/>
        </w:rPr>
        <w:t xml:space="preserve"> </w:t>
      </w:r>
      <w:r w:rsidR="00FD3468">
        <w:rPr>
          <w:rFonts w:hint="cs"/>
          <w:rtl/>
        </w:rPr>
        <w:t xml:space="preserve">מוצע כי תיקון זה ייעשה </w:t>
      </w:r>
      <w:r w:rsidR="00CD12CE">
        <w:rPr>
          <w:rFonts w:hint="cs"/>
          <w:rtl/>
        </w:rPr>
        <w:t>בהגדרת המונח "שידורי טלוויזיה"</w:t>
      </w:r>
      <w:r w:rsidR="00FD3468">
        <w:rPr>
          <w:rFonts w:hint="cs"/>
          <w:rtl/>
        </w:rPr>
        <w:t xml:space="preserve"> בסעיף 1 לחוק, ולא בסעיף 33א.</w:t>
      </w:r>
      <w:r w:rsidR="00CD12CE">
        <w:rPr>
          <w:rFonts w:hint="cs"/>
          <w:rtl/>
        </w:rPr>
        <w:t xml:space="preserve"> </w:t>
      </w:r>
      <w:r w:rsidR="00FD3468">
        <w:rPr>
          <w:rFonts w:hint="cs"/>
          <w:rtl/>
        </w:rPr>
        <w:t xml:space="preserve"> לשם כך, יש להוסיף בסוף ההגדרה של המונח "שידורי טלוויזיה" </w:t>
      </w:r>
      <w:r w:rsidR="00CD12CE">
        <w:rPr>
          <w:rFonts w:hint="cs"/>
          <w:rtl/>
        </w:rPr>
        <w:t>המילים: "...וכן שידוריו של בעל רישיון זעיר אף אם אינם מופצים בדרך אלחוטית או באמצעות לווין ואף אם הוא משודר באופן מוצפן באמצעות בעל רישיון כללי לשידורי כבלים או בעל רשיון לשידורי לווין".</w:t>
      </w:r>
    </w:p>
    <w:p w:rsidR="00CE3A55" w:rsidRDefault="00CE2E93" w:rsidP="00CE2E93">
      <w:pPr>
        <w:pStyle w:val="a3"/>
        <w:numPr>
          <w:ilvl w:val="0"/>
          <w:numId w:val="1"/>
        </w:numPr>
        <w:ind w:left="714" w:hanging="357"/>
        <w:jc w:val="both"/>
      </w:pPr>
      <w:r>
        <w:rPr>
          <w:rFonts w:hint="cs"/>
          <w:u w:val="single"/>
          <w:rtl/>
        </w:rPr>
        <w:t>סעיף 13 להצעת החוק המתקן</w:t>
      </w:r>
      <w:r w:rsidRPr="009F2EFC">
        <w:rPr>
          <w:rFonts w:hint="cs"/>
          <w:u w:val="single"/>
          <w:rtl/>
        </w:rPr>
        <w:t xml:space="preserve"> </w:t>
      </w:r>
      <w:r>
        <w:rPr>
          <w:rFonts w:hint="cs"/>
          <w:u w:val="single"/>
          <w:rtl/>
        </w:rPr>
        <w:t xml:space="preserve">- </w:t>
      </w:r>
      <w:r w:rsidR="00CE3A55" w:rsidRPr="009F2EFC">
        <w:rPr>
          <w:rFonts w:hint="cs"/>
          <w:u w:val="single"/>
          <w:rtl/>
        </w:rPr>
        <w:t>סעיף 71ז(א)</w:t>
      </w:r>
      <w:r>
        <w:rPr>
          <w:rFonts w:hint="cs"/>
          <w:u w:val="single"/>
          <w:rtl/>
        </w:rPr>
        <w:t xml:space="preserve"> לחוק </w:t>
      </w:r>
      <w:r w:rsidR="00CE3A55">
        <w:rPr>
          <w:rtl/>
        </w:rPr>
        <w:t>–</w:t>
      </w:r>
      <w:r w:rsidR="00CE3A55">
        <w:rPr>
          <w:rFonts w:hint="cs"/>
          <w:rtl/>
        </w:rPr>
        <w:t xml:space="preserve"> מוצע לאפשר לרשות להאריך את המועד למסירת המידע לבחינת הכנסותיו של בעל הרישיון הזעיר. </w:t>
      </w:r>
    </w:p>
    <w:p w:rsidR="00CE3A55" w:rsidRDefault="00CE3A55" w:rsidP="00FD3468">
      <w:pPr>
        <w:pStyle w:val="a3"/>
        <w:ind w:left="714"/>
        <w:contextualSpacing w:val="0"/>
        <w:jc w:val="both"/>
        <w:rPr>
          <w:rtl/>
        </w:rPr>
      </w:pPr>
      <w:r>
        <w:rPr>
          <w:rFonts w:hint="cs"/>
          <w:rtl/>
        </w:rPr>
        <w:t>חברות פרטיות אינן תמיד חותמות על הדו"חות הכספיים השנתיים שלהן עד ה- 31 במרץ</w:t>
      </w:r>
      <w:r w:rsidR="00FD3468">
        <w:rPr>
          <w:rFonts w:hint="cs"/>
          <w:rtl/>
        </w:rPr>
        <w:t xml:space="preserve">, וזאת על פי הארכות הניתנות כדין על ידי </w:t>
      </w:r>
      <w:r>
        <w:rPr>
          <w:rFonts w:hint="cs"/>
          <w:rtl/>
        </w:rPr>
        <w:t xml:space="preserve">רשות המיסים.  </w:t>
      </w:r>
      <w:r w:rsidR="009F2EFC">
        <w:rPr>
          <w:rFonts w:hint="cs"/>
          <w:rtl/>
        </w:rPr>
        <w:t>אין מקום לאמץ נוסח העלול לגרום לחברה להיחשב כמפרת חוק במקרה שלא חתמה על הדוחות שלה עד ה- 31 במרץ, בפרט נוכח הסנקציה הקשה הקבועה בסעיף 95(ג) המוצע</w:t>
      </w:r>
      <w:r w:rsidR="00FD3468">
        <w:rPr>
          <w:rFonts w:hint="cs"/>
          <w:rtl/>
        </w:rPr>
        <w:t xml:space="preserve"> (קנס של מיליון ש"ח)</w:t>
      </w:r>
      <w:r w:rsidR="009F2EFC">
        <w:rPr>
          <w:rFonts w:hint="cs"/>
          <w:rtl/>
        </w:rPr>
        <w:t>.  כמובן שהערוץ יחוייב למסור עד אותו מועד את הנתונים הידועים לו במועד, א</w:t>
      </w:r>
      <w:r>
        <w:rPr>
          <w:rFonts w:hint="cs"/>
          <w:rtl/>
        </w:rPr>
        <w:t xml:space="preserve">ף אם </w:t>
      </w:r>
      <w:r w:rsidR="009F2EFC">
        <w:rPr>
          <w:rFonts w:hint="cs"/>
          <w:rtl/>
        </w:rPr>
        <w:t xml:space="preserve">טרם </w:t>
      </w:r>
      <w:r w:rsidR="00FD3468">
        <w:rPr>
          <w:rFonts w:hint="cs"/>
          <w:rtl/>
        </w:rPr>
        <w:t xml:space="preserve">נחתמו </w:t>
      </w:r>
      <w:r w:rsidR="009F2EFC">
        <w:rPr>
          <w:rFonts w:hint="cs"/>
          <w:rtl/>
        </w:rPr>
        <w:t xml:space="preserve">הדוחות </w:t>
      </w:r>
      <w:r w:rsidR="00FD3468">
        <w:rPr>
          <w:rFonts w:hint="cs"/>
          <w:rtl/>
        </w:rPr>
        <w:t>ה</w:t>
      </w:r>
      <w:r w:rsidR="009F2EFC">
        <w:rPr>
          <w:rFonts w:hint="cs"/>
          <w:rtl/>
        </w:rPr>
        <w:t xml:space="preserve">כספיים. </w:t>
      </w:r>
    </w:p>
    <w:p w:rsidR="00C05F7A" w:rsidRDefault="00CE2E93" w:rsidP="00FD3468">
      <w:pPr>
        <w:pStyle w:val="a3"/>
        <w:numPr>
          <w:ilvl w:val="0"/>
          <w:numId w:val="1"/>
        </w:numPr>
        <w:ind w:left="714" w:hanging="357"/>
        <w:jc w:val="both"/>
      </w:pPr>
      <w:r>
        <w:rPr>
          <w:rFonts w:hint="cs"/>
          <w:u w:val="single"/>
          <w:rtl/>
        </w:rPr>
        <w:t xml:space="preserve">סעיף 13 להצעת החוק המתקן - </w:t>
      </w:r>
      <w:r w:rsidR="009F2EFC" w:rsidRPr="006D1A73">
        <w:rPr>
          <w:rFonts w:hint="cs"/>
          <w:u w:val="single"/>
          <w:rtl/>
        </w:rPr>
        <w:t>סעיף 71ח(א)</w:t>
      </w:r>
      <w:r>
        <w:rPr>
          <w:rFonts w:hint="cs"/>
          <w:u w:val="single"/>
          <w:rtl/>
        </w:rPr>
        <w:t xml:space="preserve"> לחוק</w:t>
      </w:r>
      <w:r w:rsidR="009F2EFC">
        <w:rPr>
          <w:rFonts w:hint="cs"/>
          <w:rtl/>
        </w:rPr>
        <w:t xml:space="preserve"> </w:t>
      </w:r>
      <w:r w:rsidR="009F2EFC">
        <w:rPr>
          <w:rtl/>
        </w:rPr>
        <w:t>–</w:t>
      </w:r>
      <w:r w:rsidR="009F2EFC">
        <w:rPr>
          <w:rFonts w:hint="cs"/>
          <w:rtl/>
        </w:rPr>
        <w:t xml:space="preserve">  </w:t>
      </w:r>
      <w:r w:rsidR="00C05F7A">
        <w:rPr>
          <w:rFonts w:hint="cs"/>
          <w:rtl/>
        </w:rPr>
        <w:t>ברישא של הסעיף יש להוסיף את המילים "בכפוף להוראות סעי</w:t>
      </w:r>
      <w:r w:rsidR="00FD3468">
        <w:rPr>
          <w:rFonts w:hint="cs"/>
          <w:rtl/>
        </w:rPr>
        <w:t>פים</w:t>
      </w:r>
      <w:r w:rsidR="00C05F7A">
        <w:rPr>
          <w:rFonts w:hint="cs"/>
          <w:rtl/>
        </w:rPr>
        <w:t xml:space="preserve"> 20</w:t>
      </w:r>
      <w:r w:rsidR="00FD3468">
        <w:rPr>
          <w:rFonts w:hint="cs"/>
          <w:rtl/>
        </w:rPr>
        <w:t xml:space="preserve"> ו-21</w:t>
      </w:r>
      <w:r w:rsidR="00C05F7A">
        <w:rPr>
          <w:rFonts w:hint="cs"/>
          <w:rtl/>
        </w:rPr>
        <w:t xml:space="preserve"> להלן".  כמו כן, מוצע להשמיט את המילים "...</w:t>
      </w:r>
      <w:r w:rsidR="00C05F7A" w:rsidRPr="00742D05">
        <w:rPr>
          <w:rFonts w:hint="cs"/>
          <w:rtl/>
        </w:rPr>
        <w:t xml:space="preserve">יראו את </w:t>
      </w:r>
      <w:r w:rsidR="00C05F7A" w:rsidRPr="00742D05">
        <w:rPr>
          <w:rFonts w:hint="eastAsia"/>
          <w:rtl/>
        </w:rPr>
        <w:t>שידוריו</w:t>
      </w:r>
      <w:r w:rsidR="00C05F7A" w:rsidRPr="00742D05">
        <w:rPr>
          <w:rtl/>
        </w:rPr>
        <w:t xml:space="preserve"> </w:t>
      </w:r>
      <w:r w:rsidR="00C05F7A" w:rsidRPr="005123F7">
        <w:rPr>
          <w:rFonts w:hint="cs"/>
          <w:rtl/>
        </w:rPr>
        <w:t>כשידורי טלוויזיה כהגדרתם בסעיף 1",  ובמקום</w:t>
      </w:r>
      <w:r w:rsidR="00C05F7A">
        <w:rPr>
          <w:rFonts w:hint="cs"/>
          <w:rtl/>
        </w:rPr>
        <w:t xml:space="preserve"> זאת לתקן את ההגדרה של "שידורי טלוויזיה" בסעיף 1 כמוצע לעיל. </w:t>
      </w:r>
    </w:p>
    <w:p w:rsidR="00C05F7A" w:rsidRDefault="00C05F7A" w:rsidP="001B225E">
      <w:pPr>
        <w:pStyle w:val="a3"/>
        <w:ind w:left="714"/>
        <w:contextualSpacing w:val="0"/>
        <w:jc w:val="both"/>
        <w:rPr>
          <w:rtl/>
        </w:rPr>
      </w:pPr>
      <w:r>
        <w:rPr>
          <w:rFonts w:hint="cs"/>
          <w:rtl/>
        </w:rPr>
        <w:t xml:space="preserve">להבנתנו, סעיף 71ח נועד לרכז הוראות </w:t>
      </w:r>
      <w:r w:rsidR="00FD3468">
        <w:rPr>
          <w:rFonts w:hint="cs"/>
          <w:rtl/>
        </w:rPr>
        <w:t xml:space="preserve">המתייחסות </w:t>
      </w:r>
      <w:r>
        <w:rPr>
          <w:rFonts w:hint="cs"/>
          <w:rtl/>
        </w:rPr>
        <w:t>לכל ערוץ זעיר, לרבות ערוץ זעיר ייעודי, ואילו סעי</w:t>
      </w:r>
      <w:r w:rsidR="00FD3468">
        <w:rPr>
          <w:rFonts w:hint="cs"/>
          <w:rtl/>
        </w:rPr>
        <w:t>פים</w:t>
      </w:r>
      <w:r>
        <w:rPr>
          <w:rFonts w:hint="cs"/>
          <w:rtl/>
        </w:rPr>
        <w:t xml:space="preserve"> 20 </w:t>
      </w:r>
      <w:r w:rsidR="00FD3468">
        <w:rPr>
          <w:rFonts w:hint="cs"/>
          <w:rtl/>
        </w:rPr>
        <w:t xml:space="preserve">ו- 21 </w:t>
      </w:r>
      <w:r>
        <w:rPr>
          <w:rFonts w:hint="cs"/>
          <w:rtl/>
        </w:rPr>
        <w:t>נועד</w:t>
      </w:r>
      <w:r w:rsidR="00FD3468">
        <w:rPr>
          <w:rFonts w:hint="cs"/>
          <w:rtl/>
        </w:rPr>
        <w:t>ו</w:t>
      </w:r>
      <w:r>
        <w:rPr>
          <w:rFonts w:hint="cs"/>
          <w:rtl/>
        </w:rPr>
        <w:t xml:space="preserve"> לקבוע את </w:t>
      </w:r>
      <w:r w:rsidR="00FD3468">
        <w:rPr>
          <w:rFonts w:hint="cs"/>
          <w:rtl/>
        </w:rPr>
        <w:t>ה</w:t>
      </w:r>
      <w:r>
        <w:rPr>
          <w:rFonts w:hint="cs"/>
          <w:rtl/>
        </w:rPr>
        <w:t xml:space="preserve">הוראות </w:t>
      </w:r>
      <w:r w:rsidR="00FD3468">
        <w:rPr>
          <w:rFonts w:hint="cs"/>
          <w:rtl/>
        </w:rPr>
        <w:t xml:space="preserve">שעל פיהן ערוצים ייעודים קיימים ימירו את הרשיונות הקיימים שלהם לרשיונות לפי חוק הרשות השנייה (סעיף 20) וכן הוראות </w:t>
      </w:r>
      <w:r>
        <w:rPr>
          <w:rFonts w:hint="cs"/>
          <w:rtl/>
        </w:rPr>
        <w:t>מעבר שיחולו על ערוצים זעירים ייעודיים בלבד במשך תקופת המעבר</w:t>
      </w:r>
      <w:r w:rsidR="001B225E">
        <w:rPr>
          <w:rFonts w:hint="cs"/>
          <w:rtl/>
        </w:rPr>
        <w:t xml:space="preserve"> (סעיף 21)</w:t>
      </w:r>
      <w:r>
        <w:rPr>
          <w:rFonts w:hint="cs"/>
          <w:rtl/>
        </w:rPr>
        <w:t>.   אך הנוסח הנוכחי אינו ברור דיו.  על כן, למצער, מוצע להוסיף את תיבת ההסתייגות "בכפוף לסעי</w:t>
      </w:r>
      <w:r w:rsidR="001B225E">
        <w:rPr>
          <w:rFonts w:hint="cs"/>
          <w:rtl/>
        </w:rPr>
        <w:t>פים 20 ו-21</w:t>
      </w:r>
      <w:r>
        <w:rPr>
          <w:rFonts w:hint="cs"/>
          <w:rtl/>
        </w:rPr>
        <w:t xml:space="preserve">", על מנת להבהיר כי הוראות סעיף 71ח יחולו על ערוץ זעיר ייעודי אך ורק כל עוד אין הן נסתרות על ידי הראות המעבר. </w:t>
      </w:r>
    </w:p>
    <w:p w:rsidR="00CE2E93" w:rsidRPr="00CE2E93" w:rsidRDefault="00CE2E93" w:rsidP="00CE2E93">
      <w:pPr>
        <w:pStyle w:val="a3"/>
        <w:numPr>
          <w:ilvl w:val="0"/>
          <w:numId w:val="1"/>
        </w:numPr>
        <w:ind w:left="714" w:hanging="357"/>
        <w:jc w:val="both"/>
        <w:rPr>
          <w:u w:val="single"/>
          <w:rtl/>
        </w:rPr>
      </w:pPr>
      <w:r w:rsidRPr="00CE2E93">
        <w:rPr>
          <w:rFonts w:hint="cs"/>
          <w:u w:val="single"/>
          <w:rtl/>
        </w:rPr>
        <w:t xml:space="preserve">סעיף 18 להצעת החוק המתקן </w:t>
      </w:r>
      <w:r w:rsidRPr="00CE2E93">
        <w:rPr>
          <w:u w:val="single"/>
          <w:rtl/>
        </w:rPr>
        <w:t>–</w:t>
      </w:r>
      <w:r w:rsidRPr="00CE2E93">
        <w:rPr>
          <w:rFonts w:hint="cs"/>
          <w:u w:val="single"/>
          <w:rtl/>
        </w:rPr>
        <w:t xml:space="preserve"> </w:t>
      </w:r>
      <w:r>
        <w:rPr>
          <w:rFonts w:hint="cs"/>
          <w:u w:val="single"/>
          <w:rtl/>
        </w:rPr>
        <w:t xml:space="preserve">תיקון </w:t>
      </w:r>
      <w:r w:rsidRPr="00CE2E93">
        <w:rPr>
          <w:rFonts w:hint="cs"/>
          <w:u w:val="single"/>
          <w:rtl/>
        </w:rPr>
        <w:t>סעיף 6כא לחוק התקשורת</w:t>
      </w:r>
      <w:r>
        <w:rPr>
          <w:rFonts w:hint="cs"/>
          <w:u w:val="single"/>
          <w:rtl/>
        </w:rPr>
        <w:t xml:space="preserve"> </w:t>
      </w:r>
      <w:r w:rsidRPr="00CE2E93">
        <w:rPr>
          <w:rtl/>
        </w:rPr>
        <w:t>–</w:t>
      </w:r>
      <w:r w:rsidRPr="00CE2E93">
        <w:rPr>
          <w:rFonts w:hint="cs"/>
          <w:rtl/>
        </w:rPr>
        <w:t xml:space="preserve"> מוצע לתקן את סעיף 6כא (א) לחוק התקשורת </w:t>
      </w:r>
      <w:r>
        <w:rPr>
          <w:rFonts w:hint="cs"/>
          <w:rtl/>
        </w:rPr>
        <w:t>כך ש</w:t>
      </w:r>
      <w:r w:rsidRPr="00CE2E93">
        <w:rPr>
          <w:rFonts w:hint="cs"/>
          <w:rtl/>
        </w:rPr>
        <w:t>לאחר המילים "הניתנים לקליטה מהאוויר" יבוא: "וכן שידוריו של בעל רשיון לערוץ זעיר לפי חוק הרשות השנייה לטלוויזיה ורדיו, תש"ן- 1990, גם אם אינו ניתן לקליטה מהאוויר</w:t>
      </w:r>
      <w:r>
        <w:rPr>
          <w:rFonts w:hint="cs"/>
          <w:rtl/>
        </w:rPr>
        <w:t>...</w:t>
      </w:r>
      <w:r w:rsidRPr="00CE2E93">
        <w:rPr>
          <w:rFonts w:hint="cs"/>
          <w:rtl/>
        </w:rPr>
        <w:t>"</w:t>
      </w:r>
      <w:r>
        <w:rPr>
          <w:rFonts w:hint="cs"/>
          <w:u w:val="single"/>
          <w:rtl/>
        </w:rPr>
        <w:t xml:space="preserve"> </w:t>
      </w:r>
    </w:p>
    <w:p w:rsidR="00CE2E93" w:rsidRPr="00CE2E93" w:rsidRDefault="00CE2E93" w:rsidP="001B225E">
      <w:pPr>
        <w:pStyle w:val="a3"/>
        <w:ind w:left="714"/>
        <w:contextualSpacing w:val="0"/>
        <w:jc w:val="both"/>
        <w:rPr>
          <w:u w:val="single"/>
        </w:rPr>
      </w:pPr>
      <w:r>
        <w:rPr>
          <w:rFonts w:hint="cs"/>
          <w:rtl/>
        </w:rPr>
        <w:t xml:space="preserve">תיקון </w:t>
      </w:r>
      <w:r w:rsidR="001B225E">
        <w:rPr>
          <w:rFonts w:hint="cs"/>
          <w:rtl/>
        </w:rPr>
        <w:t xml:space="preserve">זה </w:t>
      </w:r>
      <w:r>
        <w:rPr>
          <w:rFonts w:hint="cs"/>
          <w:rtl/>
        </w:rPr>
        <w:t xml:space="preserve">משלים את התיקון שהצענו להגדרת המונח "שידורי טלוויזיה" בחוק הרשות השנייה והוא מייתר </w:t>
      </w:r>
      <w:r w:rsidR="001B225E">
        <w:rPr>
          <w:rFonts w:hint="cs"/>
          <w:rtl/>
        </w:rPr>
        <w:t xml:space="preserve">כמה </w:t>
      </w:r>
      <w:r>
        <w:rPr>
          <w:rFonts w:hint="cs"/>
          <w:rtl/>
        </w:rPr>
        <w:t>ניסוחים</w:t>
      </w:r>
      <w:r w:rsidR="001B225E">
        <w:rPr>
          <w:rFonts w:hint="cs"/>
          <w:rtl/>
        </w:rPr>
        <w:t xml:space="preserve"> פחות מוצלחים, לטעמנו, שבאמצעותם מבקשת ה</w:t>
      </w:r>
      <w:r w:rsidRPr="00CE2E93">
        <w:rPr>
          <w:rFonts w:hint="cs"/>
          <w:rtl/>
        </w:rPr>
        <w:t>הצעה לשקף את העובדה שערוץ זעיר ייעודי לא בהכרח ישדר באמצעים אלחוטיים.</w:t>
      </w:r>
      <w:r>
        <w:rPr>
          <w:rFonts w:hint="cs"/>
          <w:u w:val="single"/>
          <w:rtl/>
        </w:rPr>
        <w:t xml:space="preserve"> </w:t>
      </w:r>
    </w:p>
    <w:p w:rsidR="00FC4D02" w:rsidRDefault="00FC4D02" w:rsidP="00FC4D02">
      <w:pPr>
        <w:pStyle w:val="a3"/>
        <w:numPr>
          <w:ilvl w:val="0"/>
          <w:numId w:val="1"/>
        </w:numPr>
        <w:ind w:left="714" w:hanging="357"/>
        <w:jc w:val="both"/>
      </w:pPr>
      <w:r w:rsidRPr="00FC4D02">
        <w:rPr>
          <w:rFonts w:hint="cs"/>
          <w:u w:val="single"/>
          <w:rtl/>
        </w:rPr>
        <w:t>סעיף 18(2)</w:t>
      </w:r>
      <w:r>
        <w:rPr>
          <w:rFonts w:hint="cs"/>
          <w:u w:val="single"/>
          <w:rtl/>
        </w:rPr>
        <w:t xml:space="preserve"> </w:t>
      </w:r>
      <w:r w:rsidRPr="00CE2E93">
        <w:rPr>
          <w:rFonts w:hint="cs"/>
          <w:u w:val="single"/>
          <w:rtl/>
        </w:rPr>
        <w:t>להצעת החוק</w:t>
      </w:r>
      <w:r w:rsidRPr="00CE2E93">
        <w:rPr>
          <w:u w:val="single"/>
          <w:rtl/>
        </w:rPr>
        <w:t>–</w:t>
      </w:r>
      <w:r>
        <w:rPr>
          <w:rFonts w:hint="cs"/>
          <w:u w:val="single"/>
          <w:rtl/>
        </w:rPr>
        <w:t xml:space="preserve"> תיקון </w:t>
      </w:r>
      <w:r w:rsidRPr="00CE2E93">
        <w:rPr>
          <w:rFonts w:hint="cs"/>
          <w:u w:val="single"/>
          <w:rtl/>
        </w:rPr>
        <w:t>סעיף 6כא</w:t>
      </w:r>
      <w:r>
        <w:rPr>
          <w:rFonts w:hint="cs"/>
          <w:u w:val="single"/>
          <w:rtl/>
        </w:rPr>
        <w:t>1</w:t>
      </w:r>
      <w:r w:rsidRPr="00CE2E93">
        <w:rPr>
          <w:rFonts w:hint="cs"/>
          <w:u w:val="single"/>
          <w:rtl/>
        </w:rPr>
        <w:t xml:space="preserve"> </w:t>
      </w:r>
      <w:r>
        <w:rPr>
          <w:rFonts w:hint="cs"/>
          <w:u w:val="single"/>
          <w:rtl/>
        </w:rPr>
        <w:t xml:space="preserve">(ח)(1) </w:t>
      </w:r>
      <w:r w:rsidRPr="00CE2E93">
        <w:rPr>
          <w:rFonts w:hint="cs"/>
          <w:u w:val="single"/>
          <w:rtl/>
        </w:rPr>
        <w:t>לחוק התקשורת</w:t>
      </w:r>
      <w:r>
        <w:rPr>
          <w:rFonts w:hint="cs"/>
          <w:rtl/>
        </w:rPr>
        <w:t xml:space="preserve"> </w:t>
      </w:r>
      <w:r>
        <w:rPr>
          <w:rtl/>
        </w:rPr>
        <w:t>–</w:t>
      </w:r>
      <w:r>
        <w:rPr>
          <w:rFonts w:hint="cs"/>
          <w:rtl/>
        </w:rPr>
        <w:t xml:space="preserve"> יש לקבוע כי ערוץ זעיר ייעודי </w:t>
      </w:r>
      <w:r w:rsidR="00E9603B">
        <w:rPr>
          <w:rFonts w:hint="cs"/>
          <w:rtl/>
        </w:rPr>
        <w:t xml:space="preserve">הממשיך בשידוריו הייעודיים </w:t>
      </w:r>
      <w:r>
        <w:rPr>
          <w:rFonts w:hint="cs"/>
          <w:rtl/>
        </w:rPr>
        <w:t>ימשיך להיות משודר באפיק בו שידר ערב חוק זה גם לאחר תקופת המעבר, ולמצער, כי למועצת הרשות תהיה סמכות להורות לבעלי הרשיונות הכלליים לשידורי כבלים ולשידורי לווין על מספר האפיק</w:t>
      </w:r>
      <w:r w:rsidR="00E9603B">
        <w:rPr>
          <w:rFonts w:hint="cs"/>
          <w:rtl/>
        </w:rPr>
        <w:t xml:space="preserve"> של ערוץ כזה</w:t>
      </w:r>
      <w:r>
        <w:rPr>
          <w:rFonts w:hint="cs"/>
          <w:rtl/>
        </w:rPr>
        <w:t xml:space="preserve">. </w:t>
      </w:r>
    </w:p>
    <w:p w:rsidR="00CE2E93" w:rsidRDefault="00FC4D02" w:rsidP="00E9603B">
      <w:pPr>
        <w:pStyle w:val="a3"/>
        <w:ind w:left="714"/>
        <w:contextualSpacing w:val="0"/>
        <w:jc w:val="both"/>
        <w:rPr>
          <w:rtl/>
        </w:rPr>
      </w:pPr>
      <w:r>
        <w:rPr>
          <w:rFonts w:hint="cs"/>
          <w:rtl/>
        </w:rPr>
        <w:t xml:space="preserve">סעיף 6כא1(ח)(1) המוצע קובע כי ערוץ זעיר יעודי ימשיך להיות משודר במשך תקופת המעבר באפיק בו שידר ערב כניסת החוק לתוקף.  הוא אינו מפרש מה קורה לאחר מכן. יש הגיון בשימור האפיק גם לאחר מכן, כל עוד </w:t>
      </w:r>
      <w:r w:rsidR="00E9603B">
        <w:rPr>
          <w:rFonts w:hint="cs"/>
          <w:rtl/>
        </w:rPr>
        <w:t xml:space="preserve">שיעור גבוה של שידוריו הם בתחום הייעודי שלו. למצער, </w:t>
      </w:r>
      <w:r w:rsidR="00E9603B">
        <w:rPr>
          <w:rFonts w:hint="cs"/>
          <w:rtl/>
        </w:rPr>
        <w:lastRenderedPageBreak/>
        <w:t xml:space="preserve">יש ליתן בידי מועצת הרשות את אותה הסמכות שיש בידי מועצת הכבלים והלווין כיום, להורות לבעלי הרישיונות הכבלים והלווין על מיקום הערוץ. </w:t>
      </w:r>
    </w:p>
    <w:p w:rsidR="005123F7" w:rsidRDefault="005123F7" w:rsidP="005123F7">
      <w:pPr>
        <w:pStyle w:val="a3"/>
        <w:numPr>
          <w:ilvl w:val="0"/>
          <w:numId w:val="1"/>
        </w:numPr>
        <w:ind w:left="714" w:hanging="357"/>
        <w:jc w:val="both"/>
      </w:pPr>
      <w:r w:rsidRPr="005123F7">
        <w:rPr>
          <w:rFonts w:hint="cs"/>
          <w:u w:val="single"/>
          <w:rtl/>
        </w:rPr>
        <w:t>סעיף 21(5) להצעת החוק הוראות מעבר לענין ערוץ זעיר</w:t>
      </w:r>
      <w:r>
        <w:rPr>
          <w:rFonts w:hint="cs"/>
          <w:rtl/>
        </w:rPr>
        <w:t xml:space="preserve"> </w:t>
      </w:r>
      <w:r>
        <w:rPr>
          <w:rtl/>
        </w:rPr>
        <w:t>–</w:t>
      </w:r>
      <w:r>
        <w:rPr>
          <w:rFonts w:hint="cs"/>
          <w:rtl/>
        </w:rPr>
        <w:t xml:space="preserve">  מוצע כי הסעיף יתוקן כדלקמן: לאחר המילים "עשרים אחוזים מהכנסותיו" יתווספו המילים "לטובת הפקה הישראלית, וזאת עד להשלמת מחוייבויות העבר שלו כפי שנקבעו."  כן יש למחוק את פיסקת משנה (5)|(2). </w:t>
      </w:r>
    </w:p>
    <w:p w:rsidR="005123F7" w:rsidRDefault="005123F7" w:rsidP="005123F7">
      <w:pPr>
        <w:pStyle w:val="a3"/>
        <w:rPr>
          <w:rtl/>
        </w:rPr>
      </w:pPr>
    </w:p>
    <w:p w:rsidR="00CD12CE" w:rsidRPr="005123F7" w:rsidRDefault="00CD12CE" w:rsidP="005123F7">
      <w:pPr>
        <w:jc w:val="both"/>
        <w:rPr>
          <w:u w:val="single"/>
          <w:rtl/>
        </w:rPr>
      </w:pPr>
    </w:p>
    <w:sectPr w:rsidR="00CD12CE" w:rsidRPr="005123F7" w:rsidSect="009465FB">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4D11" w:rsidRDefault="00B24D11" w:rsidP="009465FB">
      <w:pPr>
        <w:spacing w:after="0" w:line="240" w:lineRule="auto"/>
      </w:pPr>
      <w:r>
        <w:separator/>
      </w:r>
    </w:p>
  </w:endnote>
  <w:endnote w:type="continuationSeparator" w:id="0">
    <w:p w:rsidR="00B24D11" w:rsidRDefault="00B24D11" w:rsidP="00946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4D11" w:rsidRDefault="00B24D11" w:rsidP="009465FB">
      <w:pPr>
        <w:spacing w:after="0" w:line="240" w:lineRule="auto"/>
      </w:pPr>
      <w:r>
        <w:separator/>
      </w:r>
    </w:p>
  </w:footnote>
  <w:footnote w:type="continuationSeparator" w:id="0">
    <w:p w:rsidR="00B24D11" w:rsidRDefault="00B24D11" w:rsidP="009465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39774281"/>
      <w:docPartObj>
        <w:docPartGallery w:val="Page Numbers (Top of Page)"/>
        <w:docPartUnique/>
      </w:docPartObj>
    </w:sdtPr>
    <w:sdtEndPr/>
    <w:sdtContent>
      <w:p w:rsidR="009465FB" w:rsidRDefault="009465FB">
        <w:pPr>
          <w:pStyle w:val="a4"/>
          <w:jc w:val="center"/>
        </w:pPr>
        <w:r>
          <w:fldChar w:fldCharType="begin"/>
        </w:r>
        <w:r>
          <w:instrText xml:space="preserve"> PAGE   \* MERGEFORMAT </w:instrText>
        </w:r>
        <w:r>
          <w:fldChar w:fldCharType="separate"/>
        </w:r>
        <w:r w:rsidR="00B70CC5">
          <w:rPr>
            <w:noProof/>
            <w:rtl/>
          </w:rPr>
          <w:t>2</w:t>
        </w:r>
        <w:r>
          <w:rPr>
            <w:noProof/>
          </w:rPr>
          <w:fldChar w:fldCharType="end"/>
        </w:r>
      </w:p>
    </w:sdtContent>
  </w:sdt>
  <w:p w:rsidR="009465FB" w:rsidRDefault="009465FB">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2C1782"/>
    <w:multiLevelType w:val="hybridMultilevel"/>
    <w:tmpl w:val="AA32D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1E4"/>
    <w:rsid w:val="00062CC4"/>
    <w:rsid w:val="000B24FB"/>
    <w:rsid w:val="001B225E"/>
    <w:rsid w:val="001F1F70"/>
    <w:rsid w:val="00397F00"/>
    <w:rsid w:val="005123F7"/>
    <w:rsid w:val="006D1A73"/>
    <w:rsid w:val="009465FB"/>
    <w:rsid w:val="00992A0C"/>
    <w:rsid w:val="009B3B8B"/>
    <w:rsid w:val="009F2EFC"/>
    <w:rsid w:val="00A63C16"/>
    <w:rsid w:val="00A8451A"/>
    <w:rsid w:val="00B24D11"/>
    <w:rsid w:val="00B70CC5"/>
    <w:rsid w:val="00C05F7A"/>
    <w:rsid w:val="00CD12CE"/>
    <w:rsid w:val="00CE2E93"/>
    <w:rsid w:val="00CE3A55"/>
    <w:rsid w:val="00DB51E4"/>
    <w:rsid w:val="00E9603B"/>
    <w:rsid w:val="00FC4D02"/>
    <w:rsid w:val="00FD346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B138F0-E22C-448D-A927-560A61A55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24FB"/>
    <w:pPr>
      <w:ind w:left="720"/>
      <w:contextualSpacing/>
    </w:pPr>
  </w:style>
  <w:style w:type="paragraph" w:customStyle="1" w:styleId="TableBlock">
    <w:name w:val="Table Block"/>
    <w:basedOn w:val="a"/>
    <w:rsid w:val="00CE2E93"/>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styleId="a4">
    <w:name w:val="header"/>
    <w:basedOn w:val="a"/>
    <w:link w:val="a5"/>
    <w:uiPriority w:val="99"/>
    <w:unhideWhenUsed/>
    <w:rsid w:val="009465FB"/>
    <w:pPr>
      <w:tabs>
        <w:tab w:val="center" w:pos="4153"/>
        <w:tab w:val="right" w:pos="8306"/>
      </w:tabs>
      <w:spacing w:after="0" w:line="240" w:lineRule="auto"/>
    </w:pPr>
  </w:style>
  <w:style w:type="character" w:customStyle="1" w:styleId="a5">
    <w:name w:val="כותרת עליונה תו"/>
    <w:basedOn w:val="a0"/>
    <w:link w:val="a4"/>
    <w:uiPriority w:val="99"/>
    <w:rsid w:val="009465FB"/>
  </w:style>
  <w:style w:type="paragraph" w:styleId="a6">
    <w:name w:val="footer"/>
    <w:basedOn w:val="a"/>
    <w:link w:val="a7"/>
    <w:uiPriority w:val="99"/>
    <w:unhideWhenUsed/>
    <w:rsid w:val="009465FB"/>
    <w:pPr>
      <w:tabs>
        <w:tab w:val="center" w:pos="4153"/>
        <w:tab w:val="right" w:pos="8306"/>
      </w:tabs>
      <w:spacing w:after="0" w:line="240" w:lineRule="auto"/>
    </w:pPr>
  </w:style>
  <w:style w:type="character" w:customStyle="1" w:styleId="a7">
    <w:name w:val="כותרת תחתונה תו"/>
    <w:basedOn w:val="a0"/>
    <w:link w:val="a6"/>
    <w:uiPriority w:val="99"/>
    <w:rsid w:val="009465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15E398-1488-48F6-BEFA-175A28C7F9D4}"/>
</file>

<file path=customXml/itemProps2.xml><?xml version="1.0" encoding="utf-8"?>
<ds:datastoreItem xmlns:ds="http://schemas.openxmlformats.org/officeDocument/2006/customXml" ds:itemID="{ED647DF1-EA88-43D1-BE0D-9C79B1AB13D7}"/>
</file>

<file path=customXml/itemProps3.xml><?xml version="1.0" encoding="utf-8"?>
<ds:datastoreItem xmlns:ds="http://schemas.openxmlformats.org/officeDocument/2006/customXml" ds:itemID="{974E10B4-3A9F-49A7-B3F9-77403F6D8A75}"/>
</file>

<file path=docProps/app.xml><?xml version="1.0" encoding="utf-8"?>
<Properties xmlns="http://schemas.openxmlformats.org/officeDocument/2006/extended-properties" xmlns:vt="http://schemas.openxmlformats.org/officeDocument/2006/docPropsVTypes">
  <Template>Normal</Template>
  <TotalTime>0</TotalTime>
  <Pages>2</Pages>
  <Words>600</Words>
  <Characters>3001</Characters>
  <Application>Microsoft Office Word</Application>
  <DocSecurity>0</DocSecurity>
  <Lines>25</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Dov Abramowitz</dc:creator>
  <cp:keywords/>
  <dc:description/>
  <cp:lastModifiedBy>עידית חנוכה</cp:lastModifiedBy>
  <cp:revision>2</cp:revision>
  <dcterms:created xsi:type="dcterms:W3CDTF">2018-02-12T13:17:00Z</dcterms:created>
  <dcterms:modified xsi:type="dcterms:W3CDTF">2018-02-12T13:17:00Z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2064762</vt:r8>
  </property>
</Properties>
</file>