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E3C" w:rsidRDefault="00003B1E" w:rsidP="00FB737E">
      <w:pPr>
        <w:bidi w:val="0"/>
        <w:jc w:val="both"/>
        <w:rPr>
          <w:u w:val="single"/>
          <w:rtl/>
        </w:rPr>
      </w:pPr>
      <w:bookmarkStart w:id="0" w:name="_GoBack"/>
      <w:bookmarkEnd w:id="0"/>
      <w:r>
        <w:rPr>
          <w:rFonts w:hint="cs"/>
          <w:u w:val="single"/>
          <w:rtl/>
        </w:rPr>
        <w:t>12</w:t>
      </w:r>
      <w:r w:rsidR="00FB737E">
        <w:rPr>
          <w:rFonts w:hint="cs"/>
          <w:u w:val="single"/>
          <w:rtl/>
        </w:rPr>
        <w:t xml:space="preserve"> בפברואר 2018</w:t>
      </w:r>
    </w:p>
    <w:p w:rsidR="00FB737E" w:rsidRDefault="00FB737E" w:rsidP="00FB737E">
      <w:pPr>
        <w:jc w:val="center"/>
        <w:rPr>
          <w:b/>
          <w:bCs/>
          <w:u w:val="single"/>
          <w:rtl/>
        </w:rPr>
      </w:pPr>
    </w:p>
    <w:p w:rsidR="00FB737E" w:rsidRDefault="00FB737E" w:rsidP="00FB737E">
      <w:pPr>
        <w:jc w:val="center"/>
        <w:rPr>
          <w:rtl/>
        </w:rPr>
      </w:pPr>
      <w:r>
        <w:rPr>
          <w:rFonts w:hint="cs"/>
          <w:b/>
          <w:bCs/>
          <w:u w:val="single"/>
          <w:rtl/>
        </w:rPr>
        <w:t>הערות מטעם הלא טי. וי. בע"מ לנוסח הצעת החוק לדיון ביום 13 בפברואר 2018</w:t>
      </w:r>
    </w:p>
    <w:p w:rsidR="00FB737E" w:rsidRDefault="00FB737E" w:rsidP="00FB737E">
      <w:pPr>
        <w:jc w:val="center"/>
        <w:rPr>
          <w:rtl/>
        </w:rPr>
      </w:pPr>
    </w:p>
    <w:p w:rsidR="00CD43D2" w:rsidRDefault="00FB737E" w:rsidP="001B1334">
      <w:pPr>
        <w:ind w:left="720" w:hanging="720"/>
        <w:jc w:val="both"/>
        <w:rPr>
          <w:rtl/>
        </w:rPr>
      </w:pPr>
      <w:r>
        <w:rPr>
          <w:rFonts w:hint="cs"/>
          <w:rtl/>
        </w:rPr>
        <w:t>1.</w:t>
      </w:r>
      <w:r>
        <w:rPr>
          <w:rtl/>
        </w:rPr>
        <w:tab/>
      </w:r>
      <w:r w:rsidR="0096355F">
        <w:rPr>
          <w:rFonts w:hint="cs"/>
          <w:b/>
          <w:bCs/>
          <w:u w:val="single"/>
          <w:rtl/>
        </w:rPr>
        <w:t xml:space="preserve">זיכיון לשידורי </w:t>
      </w:r>
      <w:r w:rsidR="0096355F" w:rsidRPr="0096355F">
        <w:rPr>
          <w:rFonts w:hint="cs"/>
          <w:rtl/>
        </w:rPr>
        <w:t>רדיו</w:t>
      </w:r>
      <w:r w:rsidR="0096355F">
        <w:rPr>
          <w:rFonts w:hint="cs"/>
          <w:rtl/>
        </w:rPr>
        <w:t xml:space="preserve"> </w:t>
      </w:r>
      <w:r w:rsidR="0096355F">
        <w:rPr>
          <w:rtl/>
        </w:rPr>
        <w:t>–</w:t>
      </w:r>
      <w:r w:rsidR="0096355F">
        <w:rPr>
          <w:rFonts w:hint="cs"/>
          <w:rtl/>
        </w:rPr>
        <w:t xml:space="preserve"> </w:t>
      </w:r>
      <w:r w:rsidR="00462134" w:rsidRPr="0096355F">
        <w:rPr>
          <w:rFonts w:hint="cs"/>
          <w:rtl/>
        </w:rPr>
        <w:t>מבוקש</w:t>
      </w:r>
      <w:r w:rsidR="00462134">
        <w:rPr>
          <w:rFonts w:hint="cs"/>
          <w:rtl/>
        </w:rPr>
        <w:t xml:space="preserve"> כי </w:t>
      </w:r>
      <w:r w:rsidR="001B1334">
        <w:rPr>
          <w:rFonts w:hint="cs"/>
          <w:rtl/>
        </w:rPr>
        <w:t xml:space="preserve">כל עוד הערוץ הוא במעמד של ערוץ זעיר, </w:t>
      </w:r>
      <w:r w:rsidR="00462134">
        <w:rPr>
          <w:rFonts w:hint="cs"/>
          <w:rtl/>
        </w:rPr>
        <w:t>סעיפים</w:t>
      </w:r>
      <w:r w:rsidR="00772E50">
        <w:rPr>
          <w:rFonts w:hint="cs"/>
          <w:rtl/>
        </w:rPr>
        <w:t xml:space="preserve"> 41(א) (בכל הנוגע לסעיף 41(ג)),</w:t>
      </w:r>
      <w:r w:rsidR="00462134">
        <w:rPr>
          <w:rFonts w:hint="cs"/>
          <w:rtl/>
        </w:rPr>
        <w:t xml:space="preserve"> 41(ג)(1), 41(ג)(3) ו-41(ג)(5) </w:t>
      </w:r>
      <w:r w:rsidR="00772E50">
        <w:rPr>
          <w:rFonts w:hint="cs"/>
          <w:rtl/>
        </w:rPr>
        <w:t xml:space="preserve">וכן סעיפים 72ג(א) (בכל הנוגע לסעיף 41(ג)), וסעיף 72ג(ב)(1) עד (5), כולל, </w:t>
      </w:r>
      <w:r w:rsidR="00462134">
        <w:rPr>
          <w:rFonts w:hint="cs"/>
          <w:rtl/>
        </w:rPr>
        <w:t>יוחרגו באופן שיאפשר לבעל השליטה בערוץ להשתתף במכרז לזיכיון לשידורי רדיו באופן שמשמר את המצב כפי שהיה תחת חוק התקשורת.</w:t>
      </w:r>
    </w:p>
    <w:p w:rsidR="001B1334" w:rsidRPr="00462134" w:rsidRDefault="001B1334" w:rsidP="001B1334">
      <w:pPr>
        <w:ind w:left="720" w:hanging="720"/>
        <w:jc w:val="both"/>
        <w:rPr>
          <w:rtl/>
        </w:rPr>
      </w:pPr>
    </w:p>
    <w:p w:rsidR="00FB737E" w:rsidRDefault="00CD43D2" w:rsidP="00613DEB">
      <w:pPr>
        <w:ind w:left="720" w:hanging="720"/>
        <w:jc w:val="both"/>
        <w:rPr>
          <w:rtl/>
        </w:rPr>
      </w:pPr>
      <w:r>
        <w:rPr>
          <w:rFonts w:hint="cs"/>
          <w:rtl/>
        </w:rPr>
        <w:t>2.</w:t>
      </w:r>
      <w:r>
        <w:rPr>
          <w:rFonts w:hint="cs"/>
          <w:rtl/>
        </w:rPr>
        <w:tab/>
      </w:r>
      <w:r w:rsidR="00613DEB" w:rsidRPr="00613DEB">
        <w:rPr>
          <w:rFonts w:hint="cs"/>
          <w:b/>
          <w:bCs/>
          <w:u w:val="single"/>
          <w:rtl/>
        </w:rPr>
        <w:t xml:space="preserve">סעיף 13 - </w:t>
      </w:r>
      <w:r w:rsidR="0096355F" w:rsidRPr="00613DEB">
        <w:rPr>
          <w:rFonts w:hint="cs"/>
          <w:b/>
          <w:bCs/>
          <w:u w:val="single"/>
          <w:rtl/>
        </w:rPr>
        <w:t>סעיף 71ח(ד)</w:t>
      </w:r>
      <w:r w:rsidR="0096355F">
        <w:rPr>
          <w:rFonts w:hint="cs"/>
          <w:rtl/>
        </w:rPr>
        <w:t xml:space="preserve"> </w:t>
      </w:r>
      <w:r w:rsidR="0096355F">
        <w:rPr>
          <w:rtl/>
        </w:rPr>
        <w:t>–</w:t>
      </w:r>
      <w:r w:rsidR="0096355F">
        <w:rPr>
          <w:rFonts w:hint="cs"/>
          <w:rtl/>
        </w:rPr>
        <w:t xml:space="preserve"> מבוקש שתחת קביעת התחייבות </w:t>
      </w:r>
      <w:r w:rsidR="00613DEB">
        <w:rPr>
          <w:rFonts w:hint="cs"/>
          <w:rtl/>
        </w:rPr>
        <w:t>ל</w:t>
      </w:r>
      <w:r w:rsidR="0096355F">
        <w:rPr>
          <w:rFonts w:hint="cs"/>
          <w:rtl/>
        </w:rPr>
        <w:t xml:space="preserve">שקעה </w:t>
      </w:r>
      <w:r w:rsidR="00613DEB">
        <w:rPr>
          <w:rFonts w:hint="cs"/>
          <w:rtl/>
        </w:rPr>
        <w:t xml:space="preserve">של 20% </w:t>
      </w:r>
      <w:r w:rsidR="0096355F">
        <w:rPr>
          <w:rFonts w:hint="cs"/>
          <w:rtl/>
        </w:rPr>
        <w:t xml:space="preserve">מתוך </w:t>
      </w:r>
      <w:r w:rsidR="00613DEB">
        <w:rPr>
          <w:rFonts w:hint="cs"/>
          <w:rtl/>
        </w:rPr>
        <w:t>ההכנסות</w:t>
      </w:r>
      <w:r w:rsidR="0096355F">
        <w:rPr>
          <w:rFonts w:hint="cs"/>
          <w:rtl/>
        </w:rPr>
        <w:t xml:space="preserve"> בהפקה ישראלית, כהגדרתה, תבוא התחייבות ל</w:t>
      </w:r>
      <w:r w:rsidR="00613DEB">
        <w:rPr>
          <w:rFonts w:hint="cs"/>
          <w:rtl/>
        </w:rPr>
        <w:t xml:space="preserve">כך שלפחות 50% מתוך כלל התכניות שיופקו על ידי הערוצים הזעירים (לרבות זעיר ייעודי), תהיינה </w:t>
      </w:r>
      <w:r w:rsidR="00DA12AB">
        <w:rPr>
          <w:rFonts w:hint="cs"/>
          <w:rtl/>
        </w:rPr>
        <w:t>הפקה ישראלית, כהגדרתה</w:t>
      </w:r>
      <w:r w:rsidR="0096355F">
        <w:rPr>
          <w:rFonts w:hint="cs"/>
          <w:rtl/>
        </w:rPr>
        <w:t>.</w:t>
      </w:r>
      <w:r>
        <w:rPr>
          <w:rFonts w:hint="cs"/>
          <w:rtl/>
        </w:rPr>
        <w:t xml:space="preserve"> </w:t>
      </w:r>
    </w:p>
    <w:p w:rsidR="00DA12AB" w:rsidRDefault="00DA12AB" w:rsidP="00613DEB">
      <w:pPr>
        <w:ind w:left="720" w:hanging="720"/>
        <w:jc w:val="both"/>
        <w:rPr>
          <w:rtl/>
        </w:rPr>
      </w:pPr>
    </w:p>
    <w:p w:rsidR="00DA12AB" w:rsidRDefault="00DA12AB" w:rsidP="00613DEB">
      <w:pPr>
        <w:ind w:left="720" w:hanging="720"/>
        <w:jc w:val="both"/>
        <w:rPr>
          <w:rtl/>
        </w:rPr>
      </w:pPr>
      <w:r>
        <w:rPr>
          <w:rFonts w:hint="cs"/>
          <w:rtl/>
        </w:rPr>
        <w:t>3.</w:t>
      </w:r>
      <w:r>
        <w:rPr>
          <w:rFonts w:hint="cs"/>
          <w:rtl/>
        </w:rPr>
        <w:tab/>
      </w:r>
      <w:r>
        <w:rPr>
          <w:rFonts w:hint="cs"/>
          <w:b/>
          <w:bCs/>
          <w:u w:val="single"/>
          <w:rtl/>
        </w:rPr>
        <w:t>סעיף 18(2)(1)</w:t>
      </w:r>
      <w:r>
        <w:rPr>
          <w:rFonts w:hint="cs"/>
          <w:rtl/>
        </w:rPr>
        <w:t xml:space="preserve"> </w:t>
      </w:r>
      <w:r>
        <w:rPr>
          <w:rtl/>
        </w:rPr>
        <w:t>–</w:t>
      </w:r>
      <w:r>
        <w:rPr>
          <w:rFonts w:hint="cs"/>
          <w:rtl/>
        </w:rPr>
        <w:t xml:space="preserve"> מדוע מוגבלת שמירת האפיק רק לתקופת המעבר?</w:t>
      </w:r>
    </w:p>
    <w:p w:rsidR="00DA12AB" w:rsidRDefault="00DA12AB" w:rsidP="00613DEB">
      <w:pPr>
        <w:ind w:left="720" w:hanging="720"/>
        <w:jc w:val="both"/>
        <w:rPr>
          <w:rtl/>
        </w:rPr>
      </w:pPr>
    </w:p>
    <w:p w:rsidR="00DA12AB" w:rsidRDefault="00DA12AB" w:rsidP="00DA12AB">
      <w:pPr>
        <w:ind w:left="720" w:hanging="720"/>
        <w:jc w:val="both"/>
        <w:rPr>
          <w:rtl/>
        </w:rPr>
      </w:pPr>
      <w:r>
        <w:rPr>
          <w:rFonts w:hint="cs"/>
          <w:rtl/>
        </w:rPr>
        <w:t>4.</w:t>
      </w:r>
      <w:r>
        <w:rPr>
          <w:rFonts w:hint="cs"/>
          <w:rtl/>
        </w:rPr>
        <w:tab/>
      </w:r>
      <w:r>
        <w:rPr>
          <w:rFonts w:hint="cs"/>
          <w:b/>
          <w:bCs/>
          <w:u w:val="single"/>
          <w:rtl/>
        </w:rPr>
        <w:t>סעיף 21(2)(א)</w:t>
      </w:r>
      <w:r>
        <w:rPr>
          <w:rFonts w:hint="cs"/>
          <w:rtl/>
        </w:rPr>
        <w:t xml:space="preserve"> </w:t>
      </w:r>
      <w:r>
        <w:rPr>
          <w:rtl/>
        </w:rPr>
        <w:t>–</w:t>
      </w:r>
      <w:r>
        <w:rPr>
          <w:rFonts w:hint="cs"/>
          <w:rtl/>
        </w:rPr>
        <w:t xml:space="preserve"> מבוקש שהוראה זו תחול ביחס לערוצים הזעירים, כל עוד יהיו במעמד זה, גם לאחר תום תקופת המעבר. כמו כן, ובנוסף, מבוקש להחריג את תחולת סעיף 100 לחוק (חובת תשלום תמלוגים), ביחס לערוצים זעירים.</w:t>
      </w:r>
    </w:p>
    <w:p w:rsidR="00DA12AB" w:rsidRDefault="00DA12AB" w:rsidP="00DA12AB">
      <w:pPr>
        <w:ind w:left="720" w:hanging="720"/>
        <w:jc w:val="both"/>
        <w:rPr>
          <w:rtl/>
        </w:rPr>
      </w:pPr>
    </w:p>
    <w:p w:rsidR="00DA12AB" w:rsidRDefault="00DA12AB" w:rsidP="00DA12AB">
      <w:pPr>
        <w:ind w:left="720" w:hanging="720"/>
        <w:jc w:val="both"/>
        <w:rPr>
          <w:rtl/>
        </w:rPr>
      </w:pPr>
      <w:r>
        <w:rPr>
          <w:rFonts w:hint="cs"/>
          <w:rtl/>
        </w:rPr>
        <w:t>5.</w:t>
      </w:r>
      <w:r>
        <w:rPr>
          <w:rFonts w:hint="cs"/>
          <w:rtl/>
        </w:rPr>
        <w:tab/>
      </w:r>
      <w:r w:rsidR="00622E68">
        <w:rPr>
          <w:rFonts w:hint="cs"/>
          <w:b/>
          <w:bCs/>
          <w:u w:val="single"/>
          <w:rtl/>
        </w:rPr>
        <w:t>סעיף 21(5)</w:t>
      </w:r>
      <w:r w:rsidR="00622E68">
        <w:rPr>
          <w:rFonts w:hint="cs"/>
          <w:rtl/>
        </w:rPr>
        <w:t xml:space="preserve"> </w:t>
      </w:r>
      <w:r w:rsidR="00622E68">
        <w:rPr>
          <w:rtl/>
        </w:rPr>
        <w:t>–</w:t>
      </w:r>
      <w:r w:rsidR="00622E68">
        <w:rPr>
          <w:rFonts w:hint="cs"/>
          <w:rtl/>
        </w:rPr>
        <w:t xml:space="preserve"> מבוקש שהמועצה לשידורי כבלים ולוויין תבהיר מהן מחוייבויות העבר הרגולטוריות בהן נמצאה אי עמידה ושיובהר כי מחוייבויות העבר הרגולטוריות האמורות יהיו כאלה שניתן להמירן בחובת ההשקעה של 20% מהכנסות הערוצים בהפקות מקומיות. עוד מבוקש שיובהר שככל ותהיה המועצה סבורה שישנן מחוייבויות עבר שלא ניתן להמירן בחובת ההפקה המקומית, כאמור, אזי יובהר שאין מדובר בהפרה המהווה מניעה לקבלת רישיון לשידורי טלוויזיה תחת חוק הרשות השניה, שאם לא כן </w:t>
      </w:r>
      <w:r w:rsidR="00622E68">
        <w:rPr>
          <w:rtl/>
        </w:rPr>
        <w:t>–</w:t>
      </w:r>
      <w:r w:rsidR="00622E68">
        <w:rPr>
          <w:rFonts w:hint="cs"/>
          <w:rtl/>
        </w:rPr>
        <w:t xml:space="preserve"> לא עשינו דבר!</w:t>
      </w:r>
    </w:p>
    <w:p w:rsidR="00622E68" w:rsidRDefault="00622E68" w:rsidP="00DA12AB">
      <w:pPr>
        <w:ind w:left="720" w:hanging="720"/>
        <w:jc w:val="both"/>
        <w:rPr>
          <w:rtl/>
        </w:rPr>
      </w:pPr>
    </w:p>
    <w:p w:rsidR="00622E68" w:rsidRPr="00622E68" w:rsidRDefault="00622E68" w:rsidP="00DA12AB">
      <w:pPr>
        <w:ind w:left="720" w:hanging="720"/>
        <w:jc w:val="both"/>
        <w:rPr>
          <w:rtl/>
        </w:rPr>
      </w:pPr>
      <w:r>
        <w:rPr>
          <w:rFonts w:hint="cs"/>
          <w:rtl/>
        </w:rPr>
        <w:t>6.</w:t>
      </w:r>
      <w:r>
        <w:rPr>
          <w:rFonts w:hint="cs"/>
          <w:rtl/>
        </w:rPr>
        <w:tab/>
      </w:r>
      <w:r>
        <w:rPr>
          <w:rFonts w:hint="cs"/>
          <w:b/>
          <w:bCs/>
          <w:u w:val="single"/>
          <w:rtl/>
        </w:rPr>
        <w:t>שידורי פרסומת</w:t>
      </w:r>
      <w:r>
        <w:rPr>
          <w:rFonts w:hint="cs"/>
          <w:rtl/>
        </w:rPr>
        <w:t xml:space="preserve"> </w:t>
      </w:r>
      <w:r>
        <w:rPr>
          <w:rtl/>
        </w:rPr>
        <w:t>–</w:t>
      </w:r>
      <w:r>
        <w:rPr>
          <w:rFonts w:hint="cs"/>
          <w:rtl/>
        </w:rPr>
        <w:t xml:space="preserve"> מבוקש להחריג את הוראות סעיף 81(ב) לחוק המסמיך את המועצה, בין היתר, לקבוע מחירון של שידורי פרסומת והפצתו לציבור. </w:t>
      </w:r>
    </w:p>
    <w:sectPr w:rsidR="00622E68" w:rsidRPr="00622E68" w:rsidSect="000F626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37E"/>
    <w:rsid w:val="00003B1E"/>
    <w:rsid w:val="000F6265"/>
    <w:rsid w:val="001B1334"/>
    <w:rsid w:val="003B7EB8"/>
    <w:rsid w:val="00462134"/>
    <w:rsid w:val="00613DEB"/>
    <w:rsid w:val="00622E68"/>
    <w:rsid w:val="00772E50"/>
    <w:rsid w:val="007D0515"/>
    <w:rsid w:val="00860E3C"/>
    <w:rsid w:val="0096355F"/>
    <w:rsid w:val="00B83BFC"/>
    <w:rsid w:val="00CD43D2"/>
    <w:rsid w:val="00DA12AB"/>
    <w:rsid w:val="00FB73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8FFE79-5939-4CF4-826E-60B6CD85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73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A41143-1AAB-4E3A-A6D6-9A769C1C65B9}"/>
</file>

<file path=customXml/itemProps2.xml><?xml version="1.0" encoding="utf-8"?>
<ds:datastoreItem xmlns:ds="http://schemas.openxmlformats.org/officeDocument/2006/customXml" ds:itemID="{64CE1373-46FA-4459-9710-7B89173E6278}"/>
</file>

<file path=customXml/itemProps3.xml><?xml version="1.0" encoding="utf-8"?>
<ds:datastoreItem xmlns:ds="http://schemas.openxmlformats.org/officeDocument/2006/customXml" ds:itemID="{997FCCB1-3928-4F0C-918F-D0615863D9A8}"/>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1255</Characters>
  <Application>Microsoft Office Word</Application>
  <DocSecurity>0</DocSecurity>
  <Lines>10</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Nahshon Axelrad</dc:creator>
  <cp:keywords/>
  <dc:description/>
  <cp:lastModifiedBy>כוכי שבתאי</cp:lastModifiedBy>
  <cp:revision>2</cp:revision>
  <dcterms:created xsi:type="dcterms:W3CDTF">2018-02-12T16:34:00Z</dcterms:created>
  <dcterms:modified xsi:type="dcterms:W3CDTF">2018-02-12T16:34:00Z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2064762</vt:r8>
  </property>
</Properties>
</file>