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563008</w:t>
      </w:r>
      <w:bookmarkEnd w:id="1"/>
    </w:p>
    <w:p w14:paraId="7F6961A2" w14:textId="047AC3F1"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8B5FAB">
        <w:rPr>
          <w:sz w:val="28"/>
          <w:szCs w:val="28"/>
          <w:rtl/>
        </w:rPr>
        <w:t>העשרים</w:t>
      </w:r>
      <w:bookmarkEnd w:id="2"/>
    </w:p>
    <w:p w14:paraId="7F6961A3" w14:textId="77777777" w:rsidR="00E13C27" w:rsidRPr="00F67051" w:rsidRDefault="00E13C27" w:rsidP="001C4D50">
      <w:pPr>
        <w:spacing w:line="360" w:lineRule="auto"/>
        <w:rPr>
          <w:rFonts w:cs="David"/>
          <w:b/>
          <w:bCs/>
          <w:sz w:val="26"/>
          <w:szCs w:val="26"/>
          <w:rtl/>
        </w:rPr>
      </w:pPr>
    </w:p>
    <w:p w14:paraId="7F6961A6" w14:textId="77777777" w:rsidR="00E13C27" w:rsidRDefault="008F6665" w:rsidP="001C4D50">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דב חנין</w:t>
      </w:r>
      <w:r>
        <w:br/>
      </w:r>
      <w:r>
        <w:rPr>
          <w:rFonts w:hint="cs"/>
          <w:b/>
          <w:bCs/>
          <w:rtl/>
        </w:rPr>
        <w:t xml:space="preserve"> </w:t>
      </w:r>
      <w:r>
        <w:tab/>
      </w:r>
      <w:r>
        <w:tab/>
      </w:r>
      <w:r>
        <w:tab/>
      </w:r>
      <w:r>
        <w:tab/>
      </w:r>
      <w:r>
        <w:rPr>
          <w:rFonts w:hint="cs"/>
          <w:b/>
          <w:bCs/>
          <w:rtl/>
        </w:rPr>
        <w:t>עבדאללה אבו מערוף</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A121912"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פ/693/20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1C4D50">
      <w:pPr>
        <w:pStyle w:val="HeadHatzaotHok"/>
        <w:rPr>
          <w:rtl/>
        </w:rPr>
      </w:pPr>
      <w:bookmarkStart w:id="8" w:name="LGS_Subject"/>
      <w:r>
        <w:rPr>
          <w:rFonts w:hint="cs"/>
          <w:rtl/>
        </w:rPr>
        <w:t xml:space="preserve">הצעת חוק סדר הדין הפלילי (תיקון – הגבלת משך זמן החקירה המשטרתית וטיפול התביעה בתיק החקירה עד להגשת כתב אישום),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895"/>
      </w:tblGrid>
      <w:tr w:rsidR="00AD15F2" w14:paraId="6576DCEC" w14:textId="77777777" w:rsidTr="00082C29">
        <w:trPr>
          <w:cantSplit/>
        </w:trPr>
        <w:tc>
          <w:tcPr>
            <w:tcW w:w="1872" w:type="dxa"/>
            <w:tcBorders>
              <w:top w:val="nil"/>
              <w:left w:val="nil"/>
              <w:bottom w:val="nil"/>
              <w:right w:val="nil"/>
            </w:tcBorders>
          </w:tcPr>
          <w:p w14:paraId="7ADB85DF" w14:textId="77777777" w:rsidR="00AD15F2" w:rsidRDefault="00AD15F2" w:rsidP="00B949FE">
            <w:pPr>
              <w:pStyle w:val="TableSideHeading"/>
            </w:pPr>
            <w:r>
              <w:rPr>
                <w:sz w:val="26"/>
                <w:rtl/>
              </w:rPr>
              <w:t>תיקון סעיף 59</w:t>
            </w:r>
          </w:p>
        </w:tc>
        <w:tc>
          <w:tcPr>
            <w:tcW w:w="624" w:type="dxa"/>
            <w:tcBorders>
              <w:top w:val="nil"/>
              <w:left w:val="nil"/>
              <w:bottom w:val="nil"/>
              <w:right w:val="nil"/>
            </w:tcBorders>
          </w:tcPr>
          <w:p w14:paraId="52ABB29F" w14:textId="77777777" w:rsidR="00AD15F2" w:rsidRDefault="00AD15F2" w:rsidP="00B949FE">
            <w:pPr>
              <w:pStyle w:val="TableText"/>
            </w:pPr>
            <w:r>
              <w:rPr>
                <w:sz w:val="26"/>
                <w:rtl/>
              </w:rPr>
              <w:t>1.</w:t>
            </w:r>
          </w:p>
        </w:tc>
        <w:tc>
          <w:tcPr>
            <w:tcW w:w="7143" w:type="dxa"/>
            <w:gridSpan w:val="3"/>
            <w:tcBorders>
              <w:top w:val="nil"/>
              <w:left w:val="nil"/>
              <w:bottom w:val="nil"/>
              <w:right w:val="nil"/>
            </w:tcBorders>
          </w:tcPr>
          <w:p w14:paraId="1FF06C49" w14:textId="77777777" w:rsidR="00AD15F2" w:rsidRDefault="00AD15F2" w:rsidP="00082C29">
            <w:pPr>
              <w:pStyle w:val="TableBlock"/>
              <w:rPr>
                <w:sz w:val="26"/>
              </w:rPr>
            </w:pPr>
            <w:r>
              <w:rPr>
                <w:sz w:val="26"/>
                <w:rtl/>
              </w:rPr>
              <w:t xml:space="preserve">בחוק סדר הדין הפלילי [נוסח משולב], </w:t>
            </w:r>
            <w:proofErr w:type="spellStart"/>
            <w:r>
              <w:rPr>
                <w:sz w:val="26"/>
                <w:rtl/>
              </w:rPr>
              <w:t>התשמ"ב</w:t>
            </w:r>
            <w:proofErr w:type="spellEnd"/>
            <w:r>
              <w:rPr>
                <w:sz w:val="26"/>
                <w:rtl/>
              </w:rPr>
              <w:t>–1982</w:t>
            </w:r>
            <w:r>
              <w:rPr>
                <w:rStyle w:val="a6"/>
                <w:sz w:val="26"/>
                <w:rtl/>
              </w:rPr>
              <w:footnoteReference w:id="2"/>
            </w:r>
            <w:r>
              <w:rPr>
                <w:sz w:val="26"/>
                <w:rtl/>
              </w:rPr>
              <w:t xml:space="preserve"> (להלן – החוק העיקרי), בסעיף 59, האמור בו יסומן "(א)" ואחריו יבוא:</w:t>
            </w:r>
          </w:p>
        </w:tc>
      </w:tr>
      <w:tr w:rsidR="00AD15F2" w14:paraId="7ED9E0E9" w14:textId="77777777" w:rsidTr="00082C29">
        <w:trPr>
          <w:cantSplit/>
        </w:trPr>
        <w:tc>
          <w:tcPr>
            <w:tcW w:w="1872" w:type="dxa"/>
            <w:tcBorders>
              <w:top w:val="nil"/>
              <w:left w:val="nil"/>
              <w:bottom w:val="nil"/>
              <w:right w:val="nil"/>
            </w:tcBorders>
          </w:tcPr>
          <w:p w14:paraId="1C06309D" w14:textId="77777777" w:rsidR="00AD15F2" w:rsidRDefault="00AD15F2" w:rsidP="00B949FE">
            <w:pPr>
              <w:pStyle w:val="TableSideHeading"/>
            </w:pPr>
          </w:p>
        </w:tc>
        <w:tc>
          <w:tcPr>
            <w:tcW w:w="624" w:type="dxa"/>
            <w:tcBorders>
              <w:top w:val="nil"/>
              <w:left w:val="nil"/>
              <w:bottom w:val="nil"/>
              <w:right w:val="nil"/>
            </w:tcBorders>
          </w:tcPr>
          <w:p w14:paraId="3483B993" w14:textId="77777777" w:rsidR="00AD15F2" w:rsidRDefault="00AD15F2" w:rsidP="00B949FE">
            <w:pPr>
              <w:pStyle w:val="TableText"/>
            </w:pPr>
          </w:p>
        </w:tc>
        <w:tc>
          <w:tcPr>
            <w:tcW w:w="624" w:type="dxa"/>
            <w:tcBorders>
              <w:top w:val="nil"/>
              <w:left w:val="nil"/>
              <w:bottom w:val="nil"/>
              <w:right w:val="nil"/>
            </w:tcBorders>
          </w:tcPr>
          <w:p w14:paraId="3C72FB45" w14:textId="77777777" w:rsidR="00AD15F2" w:rsidRDefault="00AD15F2" w:rsidP="00B949FE">
            <w:pPr>
              <w:pStyle w:val="TableText"/>
            </w:pPr>
            <w:r>
              <w:rPr>
                <w:sz w:val="26"/>
                <w:rtl/>
              </w:rPr>
              <w:t>"(ב)</w:t>
            </w:r>
          </w:p>
        </w:tc>
        <w:tc>
          <w:tcPr>
            <w:tcW w:w="6519" w:type="dxa"/>
            <w:gridSpan w:val="2"/>
            <w:tcBorders>
              <w:top w:val="nil"/>
              <w:left w:val="nil"/>
              <w:bottom w:val="nil"/>
              <w:right w:val="nil"/>
            </w:tcBorders>
          </w:tcPr>
          <w:p w14:paraId="221E48C1" w14:textId="40421F5D" w:rsidR="00AD15F2" w:rsidRDefault="00AD15F2" w:rsidP="001C4D50">
            <w:pPr>
              <w:pStyle w:val="TableBlock"/>
              <w:rPr>
                <w:sz w:val="26"/>
              </w:rPr>
            </w:pPr>
            <w:r>
              <w:rPr>
                <w:sz w:val="26"/>
                <w:rtl/>
              </w:rPr>
              <w:t>(1)</w:t>
            </w:r>
            <w:r>
              <w:rPr>
                <w:sz w:val="26"/>
                <w:rtl/>
              </w:rPr>
              <w:tab/>
              <w:t>משך זמן החקירה המשטרתית</w:t>
            </w:r>
            <w:r>
              <w:rPr>
                <w:sz w:val="26"/>
              </w:rPr>
              <w:t xml:space="preserve"> </w:t>
            </w:r>
            <w:r>
              <w:rPr>
                <w:sz w:val="26"/>
                <w:rtl/>
              </w:rPr>
              <w:t>לא יעלה על פרק הזמן הקצר ביותר הדרוש לבירור העניין החל מיום פתיחת החקירה,</w:t>
            </w:r>
            <w:r>
              <w:rPr>
                <w:sz w:val="26"/>
              </w:rPr>
              <w:t xml:space="preserve"> </w:t>
            </w:r>
            <w:r>
              <w:rPr>
                <w:sz w:val="26"/>
                <w:rtl/>
              </w:rPr>
              <w:t>ובכל</w:t>
            </w:r>
            <w:r>
              <w:rPr>
                <w:sz w:val="26"/>
              </w:rPr>
              <w:t xml:space="preserve"> </w:t>
            </w:r>
            <w:r>
              <w:rPr>
                <w:sz w:val="26"/>
                <w:rtl/>
              </w:rPr>
              <w:t xml:space="preserve">מקרה לא יעלה על תקופת הזמן הקבועה </w:t>
            </w:r>
            <w:r w:rsidR="001C4D50">
              <w:rPr>
                <w:rFonts w:hint="cs"/>
                <w:sz w:val="26"/>
                <w:rtl/>
              </w:rPr>
              <w:t>בפסקה</w:t>
            </w:r>
            <w:r>
              <w:rPr>
                <w:sz w:val="26"/>
                <w:rtl/>
              </w:rPr>
              <w:t xml:space="preserve"> (2). </w:t>
            </w:r>
          </w:p>
        </w:tc>
      </w:tr>
      <w:tr w:rsidR="00AD15F2" w14:paraId="5232F62C" w14:textId="77777777" w:rsidTr="00082C29">
        <w:trPr>
          <w:cantSplit/>
        </w:trPr>
        <w:tc>
          <w:tcPr>
            <w:tcW w:w="1872" w:type="dxa"/>
            <w:tcBorders>
              <w:top w:val="nil"/>
              <w:left w:val="nil"/>
              <w:bottom w:val="nil"/>
              <w:right w:val="nil"/>
            </w:tcBorders>
          </w:tcPr>
          <w:p w14:paraId="079651D2" w14:textId="77777777" w:rsidR="00AD15F2" w:rsidRDefault="00AD15F2" w:rsidP="00B949FE">
            <w:pPr>
              <w:pStyle w:val="TableSideHeading"/>
            </w:pPr>
          </w:p>
        </w:tc>
        <w:tc>
          <w:tcPr>
            <w:tcW w:w="624" w:type="dxa"/>
            <w:tcBorders>
              <w:top w:val="nil"/>
              <w:left w:val="nil"/>
              <w:bottom w:val="nil"/>
              <w:right w:val="nil"/>
            </w:tcBorders>
          </w:tcPr>
          <w:p w14:paraId="2CCD8C7A" w14:textId="77777777" w:rsidR="00AD15F2" w:rsidRDefault="00AD15F2" w:rsidP="00B949FE">
            <w:pPr>
              <w:pStyle w:val="TableText"/>
            </w:pPr>
          </w:p>
        </w:tc>
        <w:tc>
          <w:tcPr>
            <w:tcW w:w="624" w:type="dxa"/>
            <w:tcBorders>
              <w:top w:val="nil"/>
              <w:left w:val="nil"/>
              <w:bottom w:val="nil"/>
              <w:right w:val="nil"/>
            </w:tcBorders>
          </w:tcPr>
          <w:p w14:paraId="6492FE15" w14:textId="77777777" w:rsidR="00AD15F2" w:rsidRDefault="00AD15F2" w:rsidP="00B949FE">
            <w:pPr>
              <w:pStyle w:val="TableText"/>
            </w:pPr>
          </w:p>
        </w:tc>
        <w:tc>
          <w:tcPr>
            <w:tcW w:w="6519" w:type="dxa"/>
            <w:gridSpan w:val="2"/>
            <w:tcBorders>
              <w:top w:val="nil"/>
              <w:left w:val="nil"/>
              <w:bottom w:val="nil"/>
              <w:right w:val="nil"/>
            </w:tcBorders>
          </w:tcPr>
          <w:p w14:paraId="762A5CB1" w14:textId="77777777" w:rsidR="00AD15F2" w:rsidRDefault="00AD15F2" w:rsidP="00082C29">
            <w:pPr>
              <w:pStyle w:val="TableBlock"/>
            </w:pPr>
            <w:r>
              <w:rPr>
                <w:sz w:val="26"/>
                <w:rtl/>
              </w:rPr>
              <w:t>(2)</w:t>
            </w:r>
            <w:r>
              <w:rPr>
                <w:sz w:val="26"/>
                <w:rtl/>
              </w:rPr>
              <w:tab/>
              <w:t>משך החקירה המשטרתית לא</w:t>
            </w:r>
            <w:r>
              <w:rPr>
                <w:sz w:val="26"/>
              </w:rPr>
              <w:t xml:space="preserve"> </w:t>
            </w:r>
            <w:r>
              <w:rPr>
                <w:sz w:val="26"/>
                <w:rtl/>
              </w:rPr>
              <w:t>יעלה על התקופות המנויות להלן:</w:t>
            </w:r>
          </w:p>
        </w:tc>
      </w:tr>
      <w:tr w:rsidR="00AD15F2" w14:paraId="6FD34E69" w14:textId="77777777" w:rsidTr="00082C29">
        <w:trPr>
          <w:cantSplit/>
        </w:trPr>
        <w:tc>
          <w:tcPr>
            <w:tcW w:w="1872" w:type="dxa"/>
            <w:tcBorders>
              <w:top w:val="nil"/>
              <w:left w:val="nil"/>
              <w:bottom w:val="nil"/>
              <w:right w:val="nil"/>
            </w:tcBorders>
          </w:tcPr>
          <w:p w14:paraId="081AEA34" w14:textId="77777777" w:rsidR="00AD15F2" w:rsidRDefault="00AD15F2" w:rsidP="00B949FE">
            <w:pPr>
              <w:pStyle w:val="TableSideHeading"/>
            </w:pPr>
          </w:p>
        </w:tc>
        <w:tc>
          <w:tcPr>
            <w:tcW w:w="624" w:type="dxa"/>
            <w:tcBorders>
              <w:top w:val="nil"/>
              <w:left w:val="nil"/>
              <w:bottom w:val="nil"/>
              <w:right w:val="nil"/>
            </w:tcBorders>
          </w:tcPr>
          <w:p w14:paraId="0B9775CE" w14:textId="77777777" w:rsidR="00AD15F2" w:rsidRDefault="00AD15F2" w:rsidP="00B949FE">
            <w:pPr>
              <w:pStyle w:val="TableText"/>
            </w:pPr>
          </w:p>
        </w:tc>
        <w:tc>
          <w:tcPr>
            <w:tcW w:w="624" w:type="dxa"/>
            <w:tcBorders>
              <w:top w:val="nil"/>
              <w:left w:val="nil"/>
              <w:bottom w:val="nil"/>
              <w:right w:val="nil"/>
            </w:tcBorders>
          </w:tcPr>
          <w:p w14:paraId="4C8F1A0E" w14:textId="77777777" w:rsidR="00AD15F2" w:rsidRDefault="00AD15F2" w:rsidP="00B949FE">
            <w:pPr>
              <w:pStyle w:val="TableText"/>
            </w:pPr>
          </w:p>
        </w:tc>
        <w:tc>
          <w:tcPr>
            <w:tcW w:w="624" w:type="dxa"/>
            <w:tcBorders>
              <w:top w:val="nil"/>
              <w:left w:val="nil"/>
              <w:bottom w:val="nil"/>
              <w:right w:val="nil"/>
            </w:tcBorders>
          </w:tcPr>
          <w:p w14:paraId="28E76A19" w14:textId="77777777" w:rsidR="00AD15F2" w:rsidRDefault="00AD15F2" w:rsidP="00B949FE">
            <w:pPr>
              <w:pStyle w:val="TableText"/>
            </w:pPr>
          </w:p>
        </w:tc>
        <w:tc>
          <w:tcPr>
            <w:tcW w:w="5895" w:type="dxa"/>
            <w:tcBorders>
              <w:top w:val="nil"/>
              <w:left w:val="nil"/>
              <w:bottom w:val="nil"/>
              <w:right w:val="nil"/>
            </w:tcBorders>
          </w:tcPr>
          <w:p w14:paraId="50DE00D8" w14:textId="0EF63D45" w:rsidR="00AD15F2" w:rsidRDefault="00AD15F2" w:rsidP="00082C29">
            <w:pPr>
              <w:pStyle w:val="TableBlock"/>
            </w:pPr>
            <w:r>
              <w:rPr>
                <w:sz w:val="26"/>
                <w:rtl/>
              </w:rPr>
              <w:t>(א)</w:t>
            </w:r>
            <w:r>
              <w:rPr>
                <w:sz w:val="26"/>
                <w:rtl/>
              </w:rPr>
              <w:tab/>
              <w:t xml:space="preserve">בעבירה מסוג חטא – עד </w:t>
            </w:r>
            <w:r w:rsidR="00082C29">
              <w:rPr>
                <w:rFonts w:hint="cs"/>
                <w:sz w:val="26"/>
                <w:rtl/>
              </w:rPr>
              <w:t>שישה</w:t>
            </w:r>
            <w:r>
              <w:rPr>
                <w:sz w:val="26"/>
                <w:rtl/>
              </w:rPr>
              <w:t xml:space="preserve"> חודשים;</w:t>
            </w:r>
          </w:p>
        </w:tc>
      </w:tr>
      <w:tr w:rsidR="00AD15F2" w14:paraId="45CBDCC4" w14:textId="77777777" w:rsidTr="00082C29">
        <w:trPr>
          <w:cantSplit/>
        </w:trPr>
        <w:tc>
          <w:tcPr>
            <w:tcW w:w="1872" w:type="dxa"/>
            <w:tcBorders>
              <w:top w:val="nil"/>
              <w:left w:val="nil"/>
              <w:bottom w:val="nil"/>
              <w:right w:val="nil"/>
            </w:tcBorders>
          </w:tcPr>
          <w:p w14:paraId="1873FA39" w14:textId="77777777" w:rsidR="00AD15F2" w:rsidRDefault="00AD15F2" w:rsidP="00B949FE">
            <w:pPr>
              <w:pStyle w:val="TableSideHeading"/>
            </w:pPr>
          </w:p>
        </w:tc>
        <w:tc>
          <w:tcPr>
            <w:tcW w:w="624" w:type="dxa"/>
            <w:tcBorders>
              <w:top w:val="nil"/>
              <w:left w:val="nil"/>
              <w:bottom w:val="nil"/>
              <w:right w:val="nil"/>
            </w:tcBorders>
          </w:tcPr>
          <w:p w14:paraId="34531BB9" w14:textId="77777777" w:rsidR="00AD15F2" w:rsidRDefault="00AD15F2" w:rsidP="00B949FE">
            <w:pPr>
              <w:pStyle w:val="TableText"/>
            </w:pPr>
          </w:p>
        </w:tc>
        <w:tc>
          <w:tcPr>
            <w:tcW w:w="624" w:type="dxa"/>
            <w:tcBorders>
              <w:top w:val="nil"/>
              <w:left w:val="nil"/>
              <w:bottom w:val="nil"/>
              <w:right w:val="nil"/>
            </w:tcBorders>
          </w:tcPr>
          <w:p w14:paraId="735B58D4" w14:textId="77777777" w:rsidR="00AD15F2" w:rsidRDefault="00AD15F2" w:rsidP="00B949FE">
            <w:pPr>
              <w:pStyle w:val="TableText"/>
            </w:pPr>
          </w:p>
        </w:tc>
        <w:tc>
          <w:tcPr>
            <w:tcW w:w="624" w:type="dxa"/>
            <w:tcBorders>
              <w:top w:val="nil"/>
              <w:left w:val="nil"/>
              <w:bottom w:val="nil"/>
              <w:right w:val="nil"/>
            </w:tcBorders>
          </w:tcPr>
          <w:p w14:paraId="126BA7F1" w14:textId="77777777" w:rsidR="00AD15F2" w:rsidRDefault="00AD15F2" w:rsidP="00B949FE">
            <w:pPr>
              <w:pStyle w:val="TableText"/>
            </w:pPr>
          </w:p>
        </w:tc>
        <w:tc>
          <w:tcPr>
            <w:tcW w:w="5895" w:type="dxa"/>
            <w:tcBorders>
              <w:top w:val="nil"/>
              <w:left w:val="nil"/>
              <w:bottom w:val="nil"/>
              <w:right w:val="nil"/>
            </w:tcBorders>
          </w:tcPr>
          <w:p w14:paraId="471683D2" w14:textId="77777777" w:rsidR="00AD15F2" w:rsidRDefault="00AD15F2" w:rsidP="00082C29">
            <w:pPr>
              <w:pStyle w:val="TableBlock"/>
            </w:pPr>
            <w:r>
              <w:rPr>
                <w:sz w:val="26"/>
                <w:rtl/>
              </w:rPr>
              <w:t>(ב)</w:t>
            </w:r>
            <w:r>
              <w:rPr>
                <w:sz w:val="26"/>
                <w:rtl/>
              </w:rPr>
              <w:tab/>
              <w:t>בעבירה מסוג עוון – עד שנה;</w:t>
            </w:r>
          </w:p>
        </w:tc>
      </w:tr>
      <w:tr w:rsidR="00AD15F2" w14:paraId="3FECC2FC" w14:textId="77777777" w:rsidTr="00082C29">
        <w:trPr>
          <w:cantSplit/>
        </w:trPr>
        <w:tc>
          <w:tcPr>
            <w:tcW w:w="1872" w:type="dxa"/>
            <w:tcBorders>
              <w:top w:val="nil"/>
              <w:left w:val="nil"/>
              <w:bottom w:val="nil"/>
              <w:right w:val="nil"/>
            </w:tcBorders>
          </w:tcPr>
          <w:p w14:paraId="38E11E00" w14:textId="77777777" w:rsidR="00AD15F2" w:rsidRDefault="00AD15F2" w:rsidP="00B949FE">
            <w:pPr>
              <w:pStyle w:val="TableSideHeading"/>
            </w:pPr>
          </w:p>
        </w:tc>
        <w:tc>
          <w:tcPr>
            <w:tcW w:w="624" w:type="dxa"/>
            <w:tcBorders>
              <w:top w:val="nil"/>
              <w:left w:val="nil"/>
              <w:bottom w:val="nil"/>
              <w:right w:val="nil"/>
            </w:tcBorders>
          </w:tcPr>
          <w:p w14:paraId="2F48B4D3" w14:textId="77777777" w:rsidR="00AD15F2" w:rsidRDefault="00AD15F2" w:rsidP="00B949FE">
            <w:pPr>
              <w:pStyle w:val="TableText"/>
            </w:pPr>
          </w:p>
        </w:tc>
        <w:tc>
          <w:tcPr>
            <w:tcW w:w="624" w:type="dxa"/>
            <w:tcBorders>
              <w:top w:val="nil"/>
              <w:left w:val="nil"/>
              <w:bottom w:val="nil"/>
              <w:right w:val="nil"/>
            </w:tcBorders>
          </w:tcPr>
          <w:p w14:paraId="134DDFCB" w14:textId="77777777" w:rsidR="00AD15F2" w:rsidRDefault="00AD15F2" w:rsidP="00B949FE">
            <w:pPr>
              <w:pStyle w:val="TableText"/>
            </w:pPr>
          </w:p>
        </w:tc>
        <w:tc>
          <w:tcPr>
            <w:tcW w:w="624" w:type="dxa"/>
            <w:tcBorders>
              <w:top w:val="nil"/>
              <w:left w:val="nil"/>
              <w:bottom w:val="nil"/>
              <w:right w:val="nil"/>
            </w:tcBorders>
          </w:tcPr>
          <w:p w14:paraId="2D8F19C2" w14:textId="77777777" w:rsidR="00AD15F2" w:rsidRDefault="00AD15F2" w:rsidP="00B949FE">
            <w:pPr>
              <w:pStyle w:val="TableText"/>
            </w:pPr>
          </w:p>
        </w:tc>
        <w:tc>
          <w:tcPr>
            <w:tcW w:w="5895" w:type="dxa"/>
            <w:tcBorders>
              <w:top w:val="nil"/>
              <w:left w:val="nil"/>
              <w:bottom w:val="nil"/>
              <w:right w:val="nil"/>
            </w:tcBorders>
          </w:tcPr>
          <w:p w14:paraId="65DBE4FE" w14:textId="77777777" w:rsidR="00AD15F2" w:rsidRDefault="00AD15F2" w:rsidP="00082C29">
            <w:pPr>
              <w:pStyle w:val="TableBlock"/>
            </w:pPr>
            <w:r>
              <w:rPr>
                <w:sz w:val="26"/>
                <w:rtl/>
              </w:rPr>
              <w:t>(ג)</w:t>
            </w:r>
            <w:r>
              <w:rPr>
                <w:sz w:val="26"/>
                <w:rtl/>
              </w:rPr>
              <w:tab/>
              <w:t>בעבירה שדינה מאסר בין שלוש לעשר שנים – עד שנתיים;</w:t>
            </w:r>
          </w:p>
        </w:tc>
      </w:tr>
      <w:tr w:rsidR="00AD15F2" w14:paraId="65BEF31E" w14:textId="77777777" w:rsidTr="00082C29">
        <w:trPr>
          <w:cantSplit/>
        </w:trPr>
        <w:tc>
          <w:tcPr>
            <w:tcW w:w="1872" w:type="dxa"/>
            <w:tcBorders>
              <w:top w:val="nil"/>
              <w:left w:val="nil"/>
              <w:bottom w:val="nil"/>
              <w:right w:val="nil"/>
            </w:tcBorders>
          </w:tcPr>
          <w:p w14:paraId="790107CC" w14:textId="77777777" w:rsidR="00AD15F2" w:rsidRDefault="00AD15F2" w:rsidP="00B949FE">
            <w:pPr>
              <w:pStyle w:val="TableSideHeading"/>
            </w:pPr>
          </w:p>
        </w:tc>
        <w:tc>
          <w:tcPr>
            <w:tcW w:w="624" w:type="dxa"/>
            <w:tcBorders>
              <w:top w:val="nil"/>
              <w:left w:val="nil"/>
              <w:bottom w:val="nil"/>
              <w:right w:val="nil"/>
            </w:tcBorders>
          </w:tcPr>
          <w:p w14:paraId="37951D8A" w14:textId="77777777" w:rsidR="00AD15F2" w:rsidRDefault="00AD15F2" w:rsidP="00B949FE">
            <w:pPr>
              <w:pStyle w:val="TableText"/>
            </w:pPr>
          </w:p>
        </w:tc>
        <w:tc>
          <w:tcPr>
            <w:tcW w:w="624" w:type="dxa"/>
            <w:tcBorders>
              <w:top w:val="nil"/>
              <w:left w:val="nil"/>
              <w:bottom w:val="nil"/>
              <w:right w:val="nil"/>
            </w:tcBorders>
          </w:tcPr>
          <w:p w14:paraId="6E9AF758" w14:textId="77777777" w:rsidR="00AD15F2" w:rsidRDefault="00AD15F2" w:rsidP="00B949FE">
            <w:pPr>
              <w:pStyle w:val="TableText"/>
            </w:pPr>
          </w:p>
        </w:tc>
        <w:tc>
          <w:tcPr>
            <w:tcW w:w="624" w:type="dxa"/>
            <w:tcBorders>
              <w:top w:val="nil"/>
              <w:left w:val="nil"/>
              <w:bottom w:val="nil"/>
              <w:right w:val="nil"/>
            </w:tcBorders>
          </w:tcPr>
          <w:p w14:paraId="4A0FDE5C" w14:textId="77777777" w:rsidR="00AD15F2" w:rsidRDefault="00AD15F2" w:rsidP="00B949FE">
            <w:pPr>
              <w:pStyle w:val="TableText"/>
            </w:pPr>
          </w:p>
        </w:tc>
        <w:tc>
          <w:tcPr>
            <w:tcW w:w="5895" w:type="dxa"/>
            <w:tcBorders>
              <w:top w:val="nil"/>
              <w:left w:val="nil"/>
              <w:bottom w:val="nil"/>
              <w:right w:val="nil"/>
            </w:tcBorders>
          </w:tcPr>
          <w:p w14:paraId="5DD23EC5" w14:textId="77777777" w:rsidR="00AD15F2" w:rsidRDefault="00AD15F2" w:rsidP="00082C29">
            <w:pPr>
              <w:pStyle w:val="TableBlock"/>
            </w:pPr>
            <w:r>
              <w:rPr>
                <w:sz w:val="26"/>
                <w:rtl/>
              </w:rPr>
              <w:t>(ד)</w:t>
            </w:r>
            <w:r>
              <w:rPr>
                <w:sz w:val="26"/>
                <w:rtl/>
              </w:rPr>
              <w:tab/>
              <w:t>בעבירה שדינה 10 שנות מאסר או יותר לא יוגבל משך החקירה.</w:t>
            </w:r>
          </w:p>
        </w:tc>
      </w:tr>
      <w:tr w:rsidR="00AD15F2" w14:paraId="55588A2A" w14:textId="77777777" w:rsidTr="00082C29">
        <w:trPr>
          <w:cantSplit/>
        </w:trPr>
        <w:tc>
          <w:tcPr>
            <w:tcW w:w="1872" w:type="dxa"/>
            <w:tcBorders>
              <w:top w:val="nil"/>
              <w:left w:val="nil"/>
              <w:bottom w:val="nil"/>
              <w:right w:val="nil"/>
            </w:tcBorders>
          </w:tcPr>
          <w:p w14:paraId="6981A0C9" w14:textId="77777777" w:rsidR="00AD15F2" w:rsidRDefault="00AD15F2" w:rsidP="00B949FE">
            <w:pPr>
              <w:pStyle w:val="TableSideHeading"/>
            </w:pPr>
          </w:p>
        </w:tc>
        <w:tc>
          <w:tcPr>
            <w:tcW w:w="624" w:type="dxa"/>
            <w:tcBorders>
              <w:top w:val="nil"/>
              <w:left w:val="nil"/>
              <w:bottom w:val="nil"/>
              <w:right w:val="nil"/>
            </w:tcBorders>
          </w:tcPr>
          <w:p w14:paraId="2D022586" w14:textId="77777777" w:rsidR="00AD15F2" w:rsidRDefault="00AD15F2" w:rsidP="00B949FE">
            <w:pPr>
              <w:pStyle w:val="TableText"/>
            </w:pPr>
          </w:p>
        </w:tc>
        <w:tc>
          <w:tcPr>
            <w:tcW w:w="624" w:type="dxa"/>
            <w:tcBorders>
              <w:top w:val="nil"/>
              <w:left w:val="nil"/>
              <w:bottom w:val="nil"/>
              <w:right w:val="nil"/>
            </w:tcBorders>
          </w:tcPr>
          <w:p w14:paraId="46664BBD" w14:textId="77777777" w:rsidR="00AD15F2" w:rsidRDefault="00AD15F2" w:rsidP="00B949FE">
            <w:pPr>
              <w:pStyle w:val="TableText"/>
            </w:pPr>
          </w:p>
        </w:tc>
        <w:tc>
          <w:tcPr>
            <w:tcW w:w="6519" w:type="dxa"/>
            <w:gridSpan w:val="2"/>
            <w:tcBorders>
              <w:top w:val="nil"/>
              <w:left w:val="nil"/>
              <w:bottom w:val="nil"/>
              <w:right w:val="nil"/>
            </w:tcBorders>
          </w:tcPr>
          <w:p w14:paraId="5D746521" w14:textId="43BA01AF" w:rsidR="00AD15F2" w:rsidRDefault="00AD15F2" w:rsidP="00082C29">
            <w:pPr>
              <w:pStyle w:val="TableBlock"/>
            </w:pPr>
            <w:r>
              <w:rPr>
                <w:sz w:val="26"/>
                <w:rtl/>
              </w:rPr>
              <w:t>(3)</w:t>
            </w:r>
            <w:r>
              <w:rPr>
                <w:sz w:val="26"/>
                <w:rtl/>
              </w:rPr>
              <w:tab/>
              <w:t>על אף הוראות פסק</w:t>
            </w:r>
            <w:r w:rsidR="001C4D50">
              <w:rPr>
                <w:rFonts w:hint="cs"/>
                <w:sz w:val="26"/>
                <w:rtl/>
              </w:rPr>
              <w:t>א</w:t>
            </w:r>
            <w:r>
              <w:rPr>
                <w:sz w:val="26"/>
                <w:rtl/>
              </w:rPr>
              <w:t>ות (1) ו-(2), רשאי היועץ המשפטי לממשלה או מי שהוא הסמיכו לכך להתיר בנסיבות מיוחדות חריגה ממשכי הזמן הקבועים בפסקה (2) לתקופה שלא תעלה על שישה חודשים ולחזור ולהתיר חריגה כאמור מעת לעת; טעמיה המיוחדים של החלטה על מתן ארכה לפי פסקה זו יירשמו בצדה.</w:t>
            </w:r>
          </w:p>
        </w:tc>
      </w:tr>
      <w:tr w:rsidR="00AD15F2" w14:paraId="5F25BA9D" w14:textId="77777777" w:rsidTr="00082C29">
        <w:trPr>
          <w:cantSplit/>
        </w:trPr>
        <w:tc>
          <w:tcPr>
            <w:tcW w:w="1872" w:type="dxa"/>
            <w:tcBorders>
              <w:top w:val="nil"/>
              <w:left w:val="nil"/>
              <w:bottom w:val="nil"/>
              <w:right w:val="nil"/>
            </w:tcBorders>
          </w:tcPr>
          <w:p w14:paraId="40B94BAB" w14:textId="77777777" w:rsidR="00AD15F2" w:rsidRDefault="00AD15F2" w:rsidP="00B949FE">
            <w:pPr>
              <w:pStyle w:val="TableSideHeading"/>
            </w:pPr>
          </w:p>
        </w:tc>
        <w:tc>
          <w:tcPr>
            <w:tcW w:w="624" w:type="dxa"/>
            <w:tcBorders>
              <w:top w:val="nil"/>
              <w:left w:val="nil"/>
              <w:bottom w:val="nil"/>
              <w:right w:val="nil"/>
            </w:tcBorders>
          </w:tcPr>
          <w:p w14:paraId="1F98B3DE" w14:textId="77777777" w:rsidR="00AD15F2" w:rsidRDefault="00AD15F2" w:rsidP="00B949FE">
            <w:pPr>
              <w:pStyle w:val="TableText"/>
            </w:pPr>
          </w:p>
        </w:tc>
        <w:tc>
          <w:tcPr>
            <w:tcW w:w="624" w:type="dxa"/>
            <w:tcBorders>
              <w:top w:val="nil"/>
              <w:left w:val="nil"/>
              <w:bottom w:val="nil"/>
              <w:right w:val="nil"/>
            </w:tcBorders>
          </w:tcPr>
          <w:p w14:paraId="40390FD5" w14:textId="77777777" w:rsidR="00AD15F2" w:rsidRDefault="00AD15F2" w:rsidP="00B949FE">
            <w:pPr>
              <w:pStyle w:val="TableText"/>
            </w:pPr>
          </w:p>
        </w:tc>
        <w:tc>
          <w:tcPr>
            <w:tcW w:w="6519" w:type="dxa"/>
            <w:gridSpan w:val="2"/>
            <w:tcBorders>
              <w:top w:val="nil"/>
              <w:left w:val="nil"/>
              <w:bottom w:val="nil"/>
              <w:right w:val="nil"/>
            </w:tcBorders>
          </w:tcPr>
          <w:p w14:paraId="68214374" w14:textId="77777777" w:rsidR="00AD15F2" w:rsidRDefault="00AD15F2" w:rsidP="00082C29">
            <w:pPr>
              <w:pStyle w:val="TableBlock"/>
              <w:rPr>
                <w:sz w:val="26"/>
                <w:rtl/>
              </w:rPr>
            </w:pPr>
            <w:r>
              <w:rPr>
                <w:sz w:val="26"/>
                <w:rtl/>
              </w:rPr>
              <w:t>(4)</w:t>
            </w:r>
            <w:r>
              <w:rPr>
                <w:sz w:val="26"/>
                <w:rtl/>
              </w:rPr>
              <w:tab/>
              <w:t>בפסקה (3) ובסעיף 61(ג), "נסיבות מיוחדות" – לרבות פעולות חקירה מחוץ לשטח ישראל וחקירות שבהן עניין מיוחד לציבור.</w:t>
            </w:r>
          </w:p>
        </w:tc>
      </w:tr>
      <w:tr w:rsidR="00AD15F2" w14:paraId="47FF9CE2" w14:textId="77777777" w:rsidTr="00082C29">
        <w:trPr>
          <w:cantSplit/>
        </w:trPr>
        <w:tc>
          <w:tcPr>
            <w:tcW w:w="1872" w:type="dxa"/>
            <w:tcBorders>
              <w:top w:val="nil"/>
              <w:left w:val="nil"/>
              <w:bottom w:val="nil"/>
              <w:right w:val="nil"/>
            </w:tcBorders>
          </w:tcPr>
          <w:p w14:paraId="45751471" w14:textId="77777777" w:rsidR="00AD15F2" w:rsidRDefault="00AD15F2" w:rsidP="00B949FE">
            <w:pPr>
              <w:pStyle w:val="TableSideHeading"/>
            </w:pPr>
          </w:p>
        </w:tc>
        <w:tc>
          <w:tcPr>
            <w:tcW w:w="624" w:type="dxa"/>
            <w:tcBorders>
              <w:top w:val="nil"/>
              <w:left w:val="nil"/>
              <w:bottom w:val="nil"/>
              <w:right w:val="nil"/>
            </w:tcBorders>
          </w:tcPr>
          <w:p w14:paraId="379E131C" w14:textId="77777777" w:rsidR="00AD15F2" w:rsidRDefault="00AD15F2" w:rsidP="00B949FE">
            <w:pPr>
              <w:pStyle w:val="TableText"/>
            </w:pPr>
          </w:p>
        </w:tc>
        <w:tc>
          <w:tcPr>
            <w:tcW w:w="624" w:type="dxa"/>
            <w:tcBorders>
              <w:top w:val="nil"/>
              <w:left w:val="nil"/>
              <w:bottom w:val="nil"/>
              <w:right w:val="nil"/>
            </w:tcBorders>
          </w:tcPr>
          <w:p w14:paraId="464FEDC4" w14:textId="77777777" w:rsidR="00AD15F2" w:rsidRDefault="00AD15F2" w:rsidP="00B949FE">
            <w:pPr>
              <w:pStyle w:val="TableText"/>
            </w:pPr>
          </w:p>
        </w:tc>
        <w:tc>
          <w:tcPr>
            <w:tcW w:w="6519" w:type="dxa"/>
            <w:gridSpan w:val="2"/>
            <w:tcBorders>
              <w:top w:val="nil"/>
              <w:left w:val="nil"/>
              <w:bottom w:val="nil"/>
              <w:right w:val="nil"/>
            </w:tcBorders>
          </w:tcPr>
          <w:p w14:paraId="036154D2" w14:textId="77777777" w:rsidR="00AD15F2" w:rsidRDefault="00AD15F2" w:rsidP="00082C29">
            <w:pPr>
              <w:pStyle w:val="TableBlock"/>
              <w:rPr>
                <w:sz w:val="26"/>
              </w:rPr>
            </w:pPr>
            <w:r>
              <w:rPr>
                <w:sz w:val="26"/>
                <w:rtl/>
              </w:rPr>
              <w:t>(5)</w:t>
            </w:r>
            <w:r>
              <w:rPr>
                <w:sz w:val="26"/>
                <w:rtl/>
              </w:rPr>
              <w:tab/>
              <w:t>לא יקבל בית המשפט ראיות שהושגו בחקירה שנערכה בניגוד להוראות סעיף זה או בניגוד להוראות סעיף 61, אלא מטעמים מיוחדים שיירשמו.</w:t>
            </w:r>
          </w:p>
        </w:tc>
      </w:tr>
      <w:tr w:rsidR="00AD15F2" w14:paraId="40B3C109" w14:textId="77777777" w:rsidTr="00082C29">
        <w:trPr>
          <w:cantSplit/>
        </w:trPr>
        <w:tc>
          <w:tcPr>
            <w:tcW w:w="1872" w:type="dxa"/>
            <w:tcBorders>
              <w:top w:val="nil"/>
              <w:left w:val="nil"/>
              <w:bottom w:val="nil"/>
              <w:right w:val="nil"/>
            </w:tcBorders>
          </w:tcPr>
          <w:p w14:paraId="34326477" w14:textId="77777777" w:rsidR="00AD15F2" w:rsidRDefault="00AD15F2" w:rsidP="00B949FE">
            <w:pPr>
              <w:pStyle w:val="TableSideHeading"/>
            </w:pPr>
          </w:p>
        </w:tc>
        <w:tc>
          <w:tcPr>
            <w:tcW w:w="624" w:type="dxa"/>
            <w:tcBorders>
              <w:top w:val="nil"/>
              <w:left w:val="nil"/>
              <w:bottom w:val="nil"/>
              <w:right w:val="nil"/>
            </w:tcBorders>
          </w:tcPr>
          <w:p w14:paraId="0C450552" w14:textId="77777777" w:rsidR="00AD15F2" w:rsidRDefault="00AD15F2" w:rsidP="00B949FE">
            <w:pPr>
              <w:pStyle w:val="TableText"/>
            </w:pPr>
          </w:p>
        </w:tc>
        <w:tc>
          <w:tcPr>
            <w:tcW w:w="624" w:type="dxa"/>
            <w:tcBorders>
              <w:top w:val="nil"/>
              <w:left w:val="nil"/>
              <w:bottom w:val="nil"/>
              <w:right w:val="nil"/>
            </w:tcBorders>
          </w:tcPr>
          <w:p w14:paraId="4EE9D755" w14:textId="77777777" w:rsidR="00AD15F2" w:rsidRDefault="00AD15F2" w:rsidP="00B949FE">
            <w:pPr>
              <w:pStyle w:val="TableText"/>
            </w:pPr>
          </w:p>
        </w:tc>
        <w:tc>
          <w:tcPr>
            <w:tcW w:w="6519" w:type="dxa"/>
            <w:gridSpan w:val="2"/>
            <w:tcBorders>
              <w:top w:val="nil"/>
              <w:left w:val="nil"/>
              <w:bottom w:val="nil"/>
              <w:right w:val="nil"/>
            </w:tcBorders>
          </w:tcPr>
          <w:p w14:paraId="7BF6A8B9" w14:textId="5F58A691" w:rsidR="00AD15F2" w:rsidRDefault="001C4D50" w:rsidP="00082C29">
            <w:pPr>
              <w:pStyle w:val="TableBlock"/>
            </w:pPr>
            <w:r>
              <w:rPr>
                <w:sz w:val="26"/>
                <w:rtl/>
              </w:rPr>
              <w:t>(6)</w:t>
            </w:r>
            <w:r>
              <w:rPr>
                <w:sz w:val="26"/>
                <w:rtl/>
              </w:rPr>
              <w:tab/>
              <w:t>אין בהוראת סעיף זה כדי לפגוע בהוראות כל דין אחר."</w:t>
            </w:r>
          </w:p>
        </w:tc>
      </w:tr>
      <w:tr w:rsidR="00AD15F2" w14:paraId="5E623F93" w14:textId="77777777" w:rsidTr="00082C29">
        <w:trPr>
          <w:cantSplit/>
        </w:trPr>
        <w:tc>
          <w:tcPr>
            <w:tcW w:w="1872" w:type="dxa"/>
            <w:tcBorders>
              <w:top w:val="nil"/>
              <w:left w:val="nil"/>
              <w:bottom w:val="nil"/>
              <w:right w:val="nil"/>
            </w:tcBorders>
          </w:tcPr>
          <w:p w14:paraId="4B014B76" w14:textId="77777777" w:rsidR="00AD15F2" w:rsidRDefault="00AD15F2" w:rsidP="00B949FE">
            <w:pPr>
              <w:pStyle w:val="TableSideHeading"/>
            </w:pPr>
            <w:r>
              <w:rPr>
                <w:sz w:val="26"/>
                <w:rtl/>
              </w:rPr>
              <w:t>תיקון סעיף 61</w:t>
            </w:r>
          </w:p>
        </w:tc>
        <w:tc>
          <w:tcPr>
            <w:tcW w:w="624" w:type="dxa"/>
            <w:tcBorders>
              <w:top w:val="nil"/>
              <w:left w:val="nil"/>
              <w:bottom w:val="nil"/>
              <w:right w:val="nil"/>
            </w:tcBorders>
          </w:tcPr>
          <w:p w14:paraId="0BB8DBDE" w14:textId="77777777" w:rsidR="00AD15F2" w:rsidRDefault="00AD15F2" w:rsidP="00B949FE">
            <w:pPr>
              <w:pStyle w:val="TableText"/>
            </w:pPr>
            <w:r>
              <w:rPr>
                <w:sz w:val="26"/>
                <w:rtl/>
              </w:rPr>
              <w:t>2.</w:t>
            </w:r>
          </w:p>
        </w:tc>
        <w:tc>
          <w:tcPr>
            <w:tcW w:w="7143" w:type="dxa"/>
            <w:gridSpan w:val="3"/>
            <w:tcBorders>
              <w:top w:val="nil"/>
              <w:left w:val="nil"/>
              <w:bottom w:val="nil"/>
              <w:right w:val="nil"/>
            </w:tcBorders>
          </w:tcPr>
          <w:p w14:paraId="4DD779A3" w14:textId="77777777" w:rsidR="00AD15F2" w:rsidRDefault="00AD15F2" w:rsidP="00082C29">
            <w:pPr>
              <w:pStyle w:val="TableBlock"/>
            </w:pPr>
            <w:r>
              <w:rPr>
                <w:sz w:val="26"/>
                <w:rtl/>
              </w:rPr>
              <w:t>בסעיף 61 לחוק העיקרי, האמור בו יסומן "(א)" ואחריו יבוא:</w:t>
            </w:r>
          </w:p>
        </w:tc>
      </w:tr>
      <w:tr w:rsidR="00AD15F2" w14:paraId="44F88278" w14:textId="77777777" w:rsidTr="00082C29">
        <w:trPr>
          <w:cantSplit/>
        </w:trPr>
        <w:tc>
          <w:tcPr>
            <w:tcW w:w="1872" w:type="dxa"/>
            <w:tcBorders>
              <w:top w:val="nil"/>
              <w:left w:val="nil"/>
              <w:bottom w:val="nil"/>
              <w:right w:val="nil"/>
            </w:tcBorders>
          </w:tcPr>
          <w:p w14:paraId="7A2DD0AD" w14:textId="77777777" w:rsidR="00AD15F2" w:rsidRDefault="00AD15F2" w:rsidP="00B949FE">
            <w:pPr>
              <w:pStyle w:val="TableSideHeading"/>
            </w:pPr>
          </w:p>
        </w:tc>
        <w:tc>
          <w:tcPr>
            <w:tcW w:w="624" w:type="dxa"/>
            <w:tcBorders>
              <w:top w:val="nil"/>
              <w:left w:val="nil"/>
              <w:bottom w:val="nil"/>
              <w:right w:val="nil"/>
            </w:tcBorders>
          </w:tcPr>
          <w:p w14:paraId="4AAB7ABA" w14:textId="77777777" w:rsidR="00AD15F2" w:rsidRDefault="00AD15F2" w:rsidP="00B949FE">
            <w:pPr>
              <w:pStyle w:val="TableText"/>
              <w:rPr>
                <w:sz w:val="26"/>
              </w:rPr>
            </w:pPr>
          </w:p>
        </w:tc>
        <w:tc>
          <w:tcPr>
            <w:tcW w:w="7143" w:type="dxa"/>
            <w:gridSpan w:val="3"/>
            <w:tcBorders>
              <w:top w:val="nil"/>
              <w:left w:val="nil"/>
              <w:bottom w:val="nil"/>
              <w:right w:val="nil"/>
            </w:tcBorders>
          </w:tcPr>
          <w:p w14:paraId="2F901168" w14:textId="77777777" w:rsidR="00AD15F2" w:rsidRDefault="00AD15F2" w:rsidP="00082C29">
            <w:pPr>
              <w:pStyle w:val="TableBlock"/>
            </w:pPr>
            <w:r>
              <w:rPr>
                <w:sz w:val="26"/>
                <w:rtl/>
              </w:rPr>
              <w:t>"(ב)</w:t>
            </w:r>
            <w:r>
              <w:rPr>
                <w:sz w:val="26"/>
                <w:rtl/>
              </w:rPr>
              <w:tab/>
              <w:t xml:space="preserve">ביקש התובע לערוך השלמת חקירה כאמור בסעיף קטן (א), </w:t>
            </w:r>
            <w:proofErr w:type="spellStart"/>
            <w:r>
              <w:rPr>
                <w:sz w:val="26"/>
                <w:rtl/>
              </w:rPr>
              <w:t>יתחום</w:t>
            </w:r>
            <w:proofErr w:type="spellEnd"/>
            <w:r>
              <w:rPr>
                <w:sz w:val="26"/>
                <w:rtl/>
              </w:rPr>
              <w:t xml:space="preserve"> מראש את משך הזמן המותר להשלמת החקירה וזאת בהתייעצות</w:t>
            </w:r>
            <w:r>
              <w:rPr>
                <w:sz w:val="26"/>
              </w:rPr>
              <w:t xml:space="preserve"> </w:t>
            </w:r>
            <w:r>
              <w:rPr>
                <w:sz w:val="26"/>
                <w:rtl/>
              </w:rPr>
              <w:t>עם צוות החקירה, ובלבד שהתקופה שתיקבע לא תעלה על שלושה חודשים.</w:t>
            </w:r>
          </w:p>
        </w:tc>
      </w:tr>
      <w:tr w:rsidR="00AD15F2" w14:paraId="386A89BA" w14:textId="77777777" w:rsidTr="00082C29">
        <w:trPr>
          <w:cantSplit/>
        </w:trPr>
        <w:tc>
          <w:tcPr>
            <w:tcW w:w="1872" w:type="dxa"/>
            <w:tcBorders>
              <w:top w:val="nil"/>
              <w:left w:val="nil"/>
              <w:bottom w:val="nil"/>
              <w:right w:val="nil"/>
            </w:tcBorders>
          </w:tcPr>
          <w:p w14:paraId="0CB21E92" w14:textId="77777777" w:rsidR="00AD15F2" w:rsidRDefault="00AD15F2" w:rsidP="00B949FE">
            <w:pPr>
              <w:pStyle w:val="TableSideHeading"/>
            </w:pPr>
          </w:p>
        </w:tc>
        <w:tc>
          <w:tcPr>
            <w:tcW w:w="624" w:type="dxa"/>
            <w:tcBorders>
              <w:top w:val="nil"/>
              <w:left w:val="nil"/>
              <w:bottom w:val="nil"/>
              <w:right w:val="nil"/>
            </w:tcBorders>
          </w:tcPr>
          <w:p w14:paraId="284B8CE0" w14:textId="77777777" w:rsidR="00AD15F2" w:rsidRDefault="00AD15F2" w:rsidP="00B949FE">
            <w:pPr>
              <w:pStyle w:val="TableText"/>
              <w:rPr>
                <w:sz w:val="26"/>
              </w:rPr>
            </w:pPr>
          </w:p>
        </w:tc>
        <w:tc>
          <w:tcPr>
            <w:tcW w:w="7143" w:type="dxa"/>
            <w:gridSpan w:val="3"/>
            <w:tcBorders>
              <w:top w:val="nil"/>
              <w:left w:val="nil"/>
              <w:bottom w:val="nil"/>
              <w:right w:val="nil"/>
            </w:tcBorders>
          </w:tcPr>
          <w:p w14:paraId="75682BF0" w14:textId="77777777" w:rsidR="00AD15F2" w:rsidRDefault="00AD15F2" w:rsidP="00082C29">
            <w:pPr>
              <w:pStyle w:val="TableBlock"/>
            </w:pPr>
            <w:r>
              <w:rPr>
                <w:sz w:val="26"/>
                <w:rtl/>
              </w:rPr>
              <w:t>(ג)</w:t>
            </w:r>
            <w:r>
              <w:rPr>
                <w:sz w:val="26"/>
                <w:rtl/>
              </w:rPr>
              <w:tab/>
              <w:t>פרקליט המחוז רשאי בנסיבות מיוחדות להאריך את משך הזמן שנקבע להשלמת החקירה</w:t>
            </w:r>
            <w:r>
              <w:rPr>
                <w:sz w:val="26"/>
              </w:rPr>
              <w:t xml:space="preserve"> </w:t>
            </w:r>
            <w:r>
              <w:rPr>
                <w:sz w:val="26"/>
                <w:rtl/>
              </w:rPr>
              <w:t>כאמור בסעיף קטן (ב) לתקופה שלא תעלה על שישה חודשים ולחזור ולהאריך את משך הזמן כאמור מעת לעת; טעמיה המיוחדים של הארכה לפי סעיף קטן זה יירשמו בצדה."</w:t>
            </w:r>
          </w:p>
        </w:tc>
      </w:tr>
      <w:tr w:rsidR="00AD15F2" w14:paraId="102D24FB" w14:textId="77777777" w:rsidTr="00082C29">
        <w:trPr>
          <w:cantSplit/>
        </w:trPr>
        <w:tc>
          <w:tcPr>
            <w:tcW w:w="1872" w:type="dxa"/>
            <w:tcBorders>
              <w:top w:val="nil"/>
              <w:left w:val="nil"/>
              <w:bottom w:val="nil"/>
              <w:right w:val="nil"/>
            </w:tcBorders>
          </w:tcPr>
          <w:p w14:paraId="6A3281DB" w14:textId="77777777" w:rsidR="00AD15F2" w:rsidRDefault="00AD15F2" w:rsidP="00B949FE">
            <w:pPr>
              <w:pStyle w:val="TableSideHeading"/>
            </w:pPr>
            <w:r>
              <w:rPr>
                <w:sz w:val="26"/>
                <w:rtl/>
              </w:rPr>
              <w:t>תיקון סעיף 62</w:t>
            </w:r>
          </w:p>
        </w:tc>
        <w:tc>
          <w:tcPr>
            <w:tcW w:w="624" w:type="dxa"/>
            <w:tcBorders>
              <w:top w:val="nil"/>
              <w:left w:val="nil"/>
              <w:bottom w:val="nil"/>
              <w:right w:val="nil"/>
            </w:tcBorders>
          </w:tcPr>
          <w:p w14:paraId="2EAC8DDE" w14:textId="77777777" w:rsidR="00AD15F2" w:rsidRDefault="00AD15F2" w:rsidP="00B949FE">
            <w:pPr>
              <w:pStyle w:val="TableText"/>
              <w:rPr>
                <w:sz w:val="26"/>
              </w:rPr>
            </w:pPr>
            <w:r>
              <w:rPr>
                <w:sz w:val="26"/>
                <w:rtl/>
              </w:rPr>
              <w:t>3.</w:t>
            </w:r>
          </w:p>
        </w:tc>
        <w:tc>
          <w:tcPr>
            <w:tcW w:w="7143" w:type="dxa"/>
            <w:gridSpan w:val="3"/>
            <w:tcBorders>
              <w:top w:val="nil"/>
              <w:left w:val="nil"/>
              <w:bottom w:val="nil"/>
              <w:right w:val="nil"/>
            </w:tcBorders>
          </w:tcPr>
          <w:p w14:paraId="2CCB594A" w14:textId="77777777" w:rsidR="00AD15F2" w:rsidRDefault="00AD15F2" w:rsidP="00082C29">
            <w:pPr>
              <w:pStyle w:val="TableBlock"/>
              <w:rPr>
                <w:sz w:val="26"/>
              </w:rPr>
            </w:pPr>
            <w:r>
              <w:rPr>
                <w:sz w:val="26"/>
                <w:rtl/>
              </w:rPr>
              <w:t>בסעיף 62 לחוק העיקרי, אחרי סעיף קטן (ב) יבוא:</w:t>
            </w:r>
          </w:p>
        </w:tc>
      </w:tr>
      <w:tr w:rsidR="00AD15F2" w14:paraId="2768057C" w14:textId="77777777" w:rsidTr="00082C29">
        <w:trPr>
          <w:cantSplit/>
        </w:trPr>
        <w:tc>
          <w:tcPr>
            <w:tcW w:w="1872" w:type="dxa"/>
            <w:tcBorders>
              <w:top w:val="nil"/>
              <w:left w:val="nil"/>
              <w:bottom w:val="nil"/>
              <w:right w:val="nil"/>
            </w:tcBorders>
          </w:tcPr>
          <w:p w14:paraId="2EF07465" w14:textId="77777777" w:rsidR="00AD15F2" w:rsidRDefault="00AD15F2" w:rsidP="00B949FE">
            <w:pPr>
              <w:pStyle w:val="TableSideHeading"/>
            </w:pPr>
          </w:p>
        </w:tc>
        <w:tc>
          <w:tcPr>
            <w:tcW w:w="624" w:type="dxa"/>
            <w:tcBorders>
              <w:top w:val="nil"/>
              <w:left w:val="nil"/>
              <w:bottom w:val="nil"/>
              <w:right w:val="nil"/>
            </w:tcBorders>
          </w:tcPr>
          <w:p w14:paraId="59AE1DE8" w14:textId="77777777" w:rsidR="00AD15F2" w:rsidRDefault="00AD15F2" w:rsidP="00B949FE">
            <w:pPr>
              <w:pStyle w:val="TableText"/>
              <w:rPr>
                <w:sz w:val="26"/>
              </w:rPr>
            </w:pPr>
          </w:p>
        </w:tc>
        <w:tc>
          <w:tcPr>
            <w:tcW w:w="7143" w:type="dxa"/>
            <w:gridSpan w:val="3"/>
            <w:tcBorders>
              <w:top w:val="nil"/>
              <w:left w:val="nil"/>
              <w:bottom w:val="nil"/>
              <w:right w:val="nil"/>
            </w:tcBorders>
          </w:tcPr>
          <w:p w14:paraId="07BE379C" w14:textId="77777777" w:rsidR="00AD15F2" w:rsidRDefault="00AD15F2" w:rsidP="00082C29">
            <w:pPr>
              <w:pStyle w:val="TableBlock"/>
            </w:pPr>
            <w:r>
              <w:rPr>
                <w:sz w:val="26"/>
                <w:rtl/>
              </w:rPr>
              <w:t>"(ג)</w:t>
            </w:r>
            <w:r>
              <w:rPr>
                <w:sz w:val="26"/>
                <w:rtl/>
              </w:rPr>
              <w:tab/>
              <w:t>אדם שיש להעמידו לדין יגיש נגדו תובע כתב אישום לבית המשפט.</w:t>
            </w:r>
          </w:p>
        </w:tc>
      </w:tr>
      <w:tr w:rsidR="00AD15F2" w14:paraId="5B14701F" w14:textId="77777777" w:rsidTr="00082C29">
        <w:trPr>
          <w:cantSplit/>
        </w:trPr>
        <w:tc>
          <w:tcPr>
            <w:tcW w:w="1872" w:type="dxa"/>
            <w:tcBorders>
              <w:top w:val="nil"/>
              <w:left w:val="nil"/>
              <w:bottom w:val="nil"/>
              <w:right w:val="nil"/>
            </w:tcBorders>
          </w:tcPr>
          <w:p w14:paraId="5CA72728" w14:textId="77777777" w:rsidR="00AD15F2" w:rsidRDefault="00AD15F2" w:rsidP="00B949FE">
            <w:pPr>
              <w:pStyle w:val="TableSideHeading"/>
            </w:pPr>
          </w:p>
        </w:tc>
        <w:tc>
          <w:tcPr>
            <w:tcW w:w="624" w:type="dxa"/>
            <w:tcBorders>
              <w:top w:val="nil"/>
              <w:left w:val="nil"/>
              <w:bottom w:val="nil"/>
              <w:right w:val="nil"/>
            </w:tcBorders>
          </w:tcPr>
          <w:p w14:paraId="139623D1" w14:textId="77777777" w:rsidR="00AD15F2" w:rsidRDefault="00AD15F2" w:rsidP="00B949FE">
            <w:pPr>
              <w:pStyle w:val="TableText"/>
              <w:rPr>
                <w:sz w:val="26"/>
              </w:rPr>
            </w:pPr>
          </w:p>
        </w:tc>
        <w:tc>
          <w:tcPr>
            <w:tcW w:w="7143" w:type="dxa"/>
            <w:gridSpan w:val="3"/>
            <w:tcBorders>
              <w:top w:val="nil"/>
              <w:left w:val="nil"/>
              <w:bottom w:val="nil"/>
              <w:right w:val="nil"/>
            </w:tcBorders>
          </w:tcPr>
          <w:p w14:paraId="01E8CD31" w14:textId="77777777" w:rsidR="00AD15F2" w:rsidRDefault="00AD15F2" w:rsidP="00082C29">
            <w:pPr>
              <w:pStyle w:val="TableBlock"/>
            </w:pPr>
            <w:r>
              <w:rPr>
                <w:sz w:val="26"/>
                <w:rtl/>
              </w:rPr>
              <w:t>(ד)</w:t>
            </w:r>
            <w:r>
              <w:rPr>
                <w:sz w:val="26"/>
                <w:rtl/>
              </w:rPr>
              <w:tab/>
              <w:t>כתב האישום יוגש במועד שאינו מאוחר מן המועד הקבוע להלן:</w:t>
            </w:r>
          </w:p>
        </w:tc>
      </w:tr>
      <w:tr w:rsidR="00AD15F2" w14:paraId="10D06F28" w14:textId="77777777" w:rsidTr="00082C29">
        <w:trPr>
          <w:cantSplit/>
        </w:trPr>
        <w:tc>
          <w:tcPr>
            <w:tcW w:w="1872" w:type="dxa"/>
            <w:tcBorders>
              <w:top w:val="nil"/>
              <w:left w:val="nil"/>
              <w:bottom w:val="nil"/>
              <w:right w:val="nil"/>
            </w:tcBorders>
          </w:tcPr>
          <w:p w14:paraId="3A1E2C42" w14:textId="77777777" w:rsidR="00AD15F2" w:rsidRDefault="00AD15F2" w:rsidP="00B949FE">
            <w:pPr>
              <w:pStyle w:val="TableSideHeading"/>
            </w:pPr>
          </w:p>
        </w:tc>
        <w:tc>
          <w:tcPr>
            <w:tcW w:w="624" w:type="dxa"/>
            <w:tcBorders>
              <w:top w:val="nil"/>
              <w:left w:val="nil"/>
              <w:bottom w:val="nil"/>
              <w:right w:val="nil"/>
            </w:tcBorders>
          </w:tcPr>
          <w:p w14:paraId="3294A609" w14:textId="77777777" w:rsidR="00AD15F2" w:rsidRDefault="00AD15F2" w:rsidP="00B949FE">
            <w:pPr>
              <w:pStyle w:val="TableText"/>
              <w:rPr>
                <w:sz w:val="26"/>
              </w:rPr>
            </w:pPr>
          </w:p>
        </w:tc>
        <w:tc>
          <w:tcPr>
            <w:tcW w:w="624" w:type="dxa"/>
            <w:tcBorders>
              <w:top w:val="nil"/>
              <w:left w:val="nil"/>
              <w:bottom w:val="nil"/>
              <w:right w:val="nil"/>
            </w:tcBorders>
          </w:tcPr>
          <w:p w14:paraId="0BB27ABE" w14:textId="77777777" w:rsidR="00AD15F2" w:rsidRDefault="00AD15F2" w:rsidP="00B949FE">
            <w:pPr>
              <w:pStyle w:val="TableText"/>
            </w:pPr>
          </w:p>
        </w:tc>
        <w:tc>
          <w:tcPr>
            <w:tcW w:w="6519" w:type="dxa"/>
            <w:gridSpan w:val="2"/>
            <w:tcBorders>
              <w:top w:val="nil"/>
              <w:left w:val="nil"/>
              <w:bottom w:val="nil"/>
              <w:right w:val="nil"/>
            </w:tcBorders>
          </w:tcPr>
          <w:p w14:paraId="591B8BD6" w14:textId="77777777" w:rsidR="00AD15F2" w:rsidRDefault="00AD15F2" w:rsidP="00082C29">
            <w:pPr>
              <w:pStyle w:val="TableBlock"/>
            </w:pPr>
            <w:r>
              <w:rPr>
                <w:sz w:val="26"/>
                <w:rtl/>
              </w:rPr>
              <w:t>(1)</w:t>
            </w:r>
            <w:r>
              <w:rPr>
                <w:sz w:val="26"/>
                <w:rtl/>
              </w:rPr>
              <w:tab/>
              <w:t>בתיקים שבהם מטפל תובע משטרתי – עד תשעה חודשים מיום סיום החקירה;</w:t>
            </w:r>
          </w:p>
        </w:tc>
      </w:tr>
      <w:tr w:rsidR="00AD15F2" w14:paraId="0337FE3E" w14:textId="77777777" w:rsidTr="00082C29">
        <w:trPr>
          <w:cantSplit/>
        </w:trPr>
        <w:tc>
          <w:tcPr>
            <w:tcW w:w="1872" w:type="dxa"/>
            <w:tcBorders>
              <w:top w:val="nil"/>
              <w:left w:val="nil"/>
              <w:bottom w:val="nil"/>
              <w:right w:val="nil"/>
            </w:tcBorders>
          </w:tcPr>
          <w:p w14:paraId="2744FFEA" w14:textId="77777777" w:rsidR="00AD15F2" w:rsidRDefault="00AD15F2" w:rsidP="00B949FE">
            <w:pPr>
              <w:pStyle w:val="TableSideHeading"/>
            </w:pPr>
          </w:p>
        </w:tc>
        <w:tc>
          <w:tcPr>
            <w:tcW w:w="624" w:type="dxa"/>
            <w:tcBorders>
              <w:top w:val="nil"/>
              <w:left w:val="nil"/>
              <w:bottom w:val="nil"/>
              <w:right w:val="nil"/>
            </w:tcBorders>
          </w:tcPr>
          <w:p w14:paraId="1D1A7832" w14:textId="77777777" w:rsidR="00AD15F2" w:rsidRDefault="00AD15F2" w:rsidP="00B949FE">
            <w:pPr>
              <w:pStyle w:val="TableText"/>
              <w:rPr>
                <w:sz w:val="26"/>
              </w:rPr>
            </w:pPr>
          </w:p>
        </w:tc>
        <w:tc>
          <w:tcPr>
            <w:tcW w:w="624" w:type="dxa"/>
            <w:tcBorders>
              <w:top w:val="nil"/>
              <w:left w:val="nil"/>
              <w:bottom w:val="nil"/>
              <w:right w:val="nil"/>
            </w:tcBorders>
          </w:tcPr>
          <w:p w14:paraId="1B81D4E2" w14:textId="77777777" w:rsidR="00AD15F2" w:rsidRDefault="00AD15F2" w:rsidP="00B949FE">
            <w:pPr>
              <w:pStyle w:val="TableText"/>
            </w:pPr>
          </w:p>
        </w:tc>
        <w:tc>
          <w:tcPr>
            <w:tcW w:w="6519" w:type="dxa"/>
            <w:gridSpan w:val="2"/>
            <w:tcBorders>
              <w:top w:val="nil"/>
              <w:left w:val="nil"/>
              <w:bottom w:val="nil"/>
              <w:right w:val="nil"/>
            </w:tcBorders>
          </w:tcPr>
          <w:p w14:paraId="5ED096D9" w14:textId="77777777" w:rsidR="00AD15F2" w:rsidRDefault="00AD15F2" w:rsidP="00082C29">
            <w:pPr>
              <w:pStyle w:val="TableBlock"/>
            </w:pPr>
            <w:r>
              <w:rPr>
                <w:sz w:val="26"/>
                <w:rtl/>
              </w:rPr>
              <w:t>(2)</w:t>
            </w:r>
            <w:r>
              <w:rPr>
                <w:sz w:val="26"/>
                <w:rtl/>
              </w:rPr>
              <w:tab/>
              <w:t>בתיקים שבהם מטפל תובע מפרקליטות המדינה או מפרקליטות המחוז – עד שנים עשר חודשים מיום סיום החקירה;</w:t>
            </w:r>
          </w:p>
        </w:tc>
      </w:tr>
      <w:tr w:rsidR="00AD15F2" w14:paraId="786FA2C1" w14:textId="77777777" w:rsidTr="00082C29">
        <w:trPr>
          <w:cantSplit/>
        </w:trPr>
        <w:tc>
          <w:tcPr>
            <w:tcW w:w="1872" w:type="dxa"/>
            <w:tcBorders>
              <w:top w:val="nil"/>
              <w:left w:val="nil"/>
              <w:bottom w:val="nil"/>
              <w:right w:val="nil"/>
            </w:tcBorders>
          </w:tcPr>
          <w:p w14:paraId="16214A39" w14:textId="77777777" w:rsidR="00AD15F2" w:rsidRDefault="00AD15F2" w:rsidP="00B949FE">
            <w:pPr>
              <w:pStyle w:val="TableSideHeading"/>
            </w:pPr>
          </w:p>
        </w:tc>
        <w:tc>
          <w:tcPr>
            <w:tcW w:w="624" w:type="dxa"/>
            <w:tcBorders>
              <w:top w:val="nil"/>
              <w:left w:val="nil"/>
              <w:bottom w:val="nil"/>
              <w:right w:val="nil"/>
            </w:tcBorders>
          </w:tcPr>
          <w:p w14:paraId="16291AF1" w14:textId="77777777" w:rsidR="00AD15F2" w:rsidRDefault="00AD15F2" w:rsidP="00B949FE">
            <w:pPr>
              <w:pStyle w:val="TableText"/>
              <w:rPr>
                <w:sz w:val="26"/>
              </w:rPr>
            </w:pPr>
          </w:p>
        </w:tc>
        <w:tc>
          <w:tcPr>
            <w:tcW w:w="624" w:type="dxa"/>
            <w:tcBorders>
              <w:top w:val="nil"/>
              <w:left w:val="nil"/>
              <w:bottom w:val="nil"/>
              <w:right w:val="nil"/>
            </w:tcBorders>
          </w:tcPr>
          <w:p w14:paraId="41FB5CCD" w14:textId="77777777" w:rsidR="00AD15F2" w:rsidRDefault="00AD15F2" w:rsidP="00B949FE">
            <w:pPr>
              <w:pStyle w:val="TableText"/>
            </w:pPr>
          </w:p>
        </w:tc>
        <w:tc>
          <w:tcPr>
            <w:tcW w:w="6519" w:type="dxa"/>
            <w:gridSpan w:val="2"/>
            <w:tcBorders>
              <w:top w:val="nil"/>
              <w:left w:val="nil"/>
              <w:bottom w:val="nil"/>
              <w:right w:val="nil"/>
            </w:tcBorders>
          </w:tcPr>
          <w:p w14:paraId="632408BA" w14:textId="77777777" w:rsidR="00AD15F2" w:rsidRDefault="00AD15F2" w:rsidP="00082C29">
            <w:pPr>
              <w:pStyle w:val="TableBlock"/>
            </w:pPr>
            <w:r>
              <w:rPr>
                <w:sz w:val="26"/>
                <w:rtl/>
              </w:rPr>
              <w:t>(3)</w:t>
            </w:r>
            <w:r>
              <w:rPr>
                <w:sz w:val="26"/>
                <w:rtl/>
              </w:rPr>
              <w:tab/>
            </w:r>
            <w:proofErr w:type="spellStart"/>
            <w:r>
              <w:rPr>
                <w:sz w:val="26"/>
                <w:rtl/>
              </w:rPr>
              <w:t>באישומים</w:t>
            </w:r>
            <w:proofErr w:type="spellEnd"/>
            <w:r>
              <w:rPr>
                <w:sz w:val="26"/>
                <w:rtl/>
              </w:rPr>
              <w:t xml:space="preserve"> לפי העבירות המנויות בתוספת הרביעית – עד שמונה עשר חודשים מיום סיום החקירה.</w:t>
            </w:r>
          </w:p>
        </w:tc>
      </w:tr>
      <w:tr w:rsidR="00AD15F2" w14:paraId="0E5A58F0" w14:textId="77777777" w:rsidTr="00082C29">
        <w:trPr>
          <w:cantSplit/>
        </w:trPr>
        <w:tc>
          <w:tcPr>
            <w:tcW w:w="1872" w:type="dxa"/>
            <w:tcBorders>
              <w:top w:val="nil"/>
              <w:left w:val="nil"/>
              <w:bottom w:val="nil"/>
              <w:right w:val="nil"/>
            </w:tcBorders>
          </w:tcPr>
          <w:p w14:paraId="6DC3C87C" w14:textId="77777777" w:rsidR="00AD15F2" w:rsidRDefault="00AD15F2" w:rsidP="00B949FE">
            <w:pPr>
              <w:pStyle w:val="TableSideHeading"/>
            </w:pPr>
          </w:p>
        </w:tc>
        <w:tc>
          <w:tcPr>
            <w:tcW w:w="624" w:type="dxa"/>
            <w:tcBorders>
              <w:top w:val="nil"/>
              <w:left w:val="nil"/>
              <w:bottom w:val="nil"/>
              <w:right w:val="nil"/>
            </w:tcBorders>
          </w:tcPr>
          <w:p w14:paraId="0AEF3F5A" w14:textId="77777777" w:rsidR="00AD15F2" w:rsidRDefault="00AD15F2" w:rsidP="00B949FE">
            <w:pPr>
              <w:pStyle w:val="TableText"/>
              <w:rPr>
                <w:sz w:val="26"/>
              </w:rPr>
            </w:pPr>
          </w:p>
        </w:tc>
        <w:tc>
          <w:tcPr>
            <w:tcW w:w="7143" w:type="dxa"/>
            <w:gridSpan w:val="3"/>
            <w:tcBorders>
              <w:top w:val="nil"/>
              <w:left w:val="nil"/>
              <w:bottom w:val="nil"/>
              <w:right w:val="nil"/>
            </w:tcBorders>
          </w:tcPr>
          <w:p w14:paraId="175E0E61" w14:textId="5CC7177C" w:rsidR="00AD15F2" w:rsidRDefault="00AD15F2" w:rsidP="00082C29">
            <w:pPr>
              <w:pStyle w:val="TableBlock"/>
              <w:rPr>
                <w:sz w:val="26"/>
              </w:rPr>
            </w:pPr>
            <w:r>
              <w:rPr>
                <w:sz w:val="26"/>
                <w:rtl/>
              </w:rPr>
              <w:t>(ה)</w:t>
            </w:r>
            <w:r>
              <w:rPr>
                <w:sz w:val="26"/>
                <w:rtl/>
              </w:rPr>
              <w:tab/>
              <w:t>לא ידון בית המשפט בכתב אישום שהו</w:t>
            </w:r>
            <w:r w:rsidR="00211009">
              <w:rPr>
                <w:sz w:val="26"/>
                <w:rtl/>
              </w:rPr>
              <w:t>גש בניגוד להוראות סעיף קטן (ד).</w:t>
            </w:r>
            <w:r>
              <w:rPr>
                <w:sz w:val="26"/>
                <w:rtl/>
              </w:rPr>
              <w:t>"</w:t>
            </w:r>
          </w:p>
        </w:tc>
      </w:tr>
      <w:tr w:rsidR="00AD15F2" w14:paraId="2FDF4ABA" w14:textId="77777777" w:rsidTr="00082C29">
        <w:trPr>
          <w:cantSplit/>
        </w:trPr>
        <w:tc>
          <w:tcPr>
            <w:tcW w:w="1872" w:type="dxa"/>
            <w:tcBorders>
              <w:top w:val="nil"/>
              <w:left w:val="nil"/>
              <w:bottom w:val="nil"/>
              <w:right w:val="nil"/>
            </w:tcBorders>
          </w:tcPr>
          <w:p w14:paraId="3B129D6B" w14:textId="77777777" w:rsidR="00AD15F2" w:rsidRDefault="00AD15F2" w:rsidP="00B949FE">
            <w:pPr>
              <w:pStyle w:val="TableSideHeading"/>
            </w:pPr>
            <w:r>
              <w:rPr>
                <w:sz w:val="26"/>
                <w:rtl/>
              </w:rPr>
              <w:t>ביטול סעיף 67</w:t>
            </w:r>
          </w:p>
        </w:tc>
        <w:tc>
          <w:tcPr>
            <w:tcW w:w="624" w:type="dxa"/>
            <w:tcBorders>
              <w:top w:val="nil"/>
              <w:left w:val="nil"/>
              <w:bottom w:val="nil"/>
              <w:right w:val="nil"/>
            </w:tcBorders>
          </w:tcPr>
          <w:p w14:paraId="542DEE7B" w14:textId="77777777" w:rsidR="00AD15F2" w:rsidRDefault="00AD15F2" w:rsidP="00B949FE">
            <w:pPr>
              <w:pStyle w:val="TableText"/>
              <w:rPr>
                <w:sz w:val="26"/>
              </w:rPr>
            </w:pPr>
            <w:r>
              <w:rPr>
                <w:sz w:val="26"/>
                <w:rtl/>
              </w:rPr>
              <w:t>4.</w:t>
            </w:r>
          </w:p>
        </w:tc>
        <w:tc>
          <w:tcPr>
            <w:tcW w:w="7143" w:type="dxa"/>
            <w:gridSpan w:val="3"/>
            <w:tcBorders>
              <w:top w:val="nil"/>
              <w:left w:val="nil"/>
              <w:bottom w:val="nil"/>
              <w:right w:val="nil"/>
            </w:tcBorders>
          </w:tcPr>
          <w:p w14:paraId="0122D202" w14:textId="77777777" w:rsidR="00AD15F2" w:rsidRDefault="00AD15F2" w:rsidP="00082C29">
            <w:pPr>
              <w:pStyle w:val="TableBlock"/>
              <w:rPr>
                <w:sz w:val="26"/>
              </w:rPr>
            </w:pPr>
            <w:r>
              <w:rPr>
                <w:sz w:val="26"/>
                <w:rtl/>
              </w:rPr>
              <w:t xml:space="preserve">סעיף 67 לחוק העיקרי – בטל. </w:t>
            </w:r>
          </w:p>
        </w:tc>
      </w:tr>
      <w:tr w:rsidR="00AD15F2" w14:paraId="1A9930F4" w14:textId="77777777" w:rsidTr="00082C29">
        <w:trPr>
          <w:cantSplit/>
        </w:trPr>
        <w:tc>
          <w:tcPr>
            <w:tcW w:w="1872" w:type="dxa"/>
            <w:tcBorders>
              <w:top w:val="nil"/>
              <w:left w:val="nil"/>
              <w:bottom w:val="nil"/>
              <w:right w:val="nil"/>
            </w:tcBorders>
          </w:tcPr>
          <w:p w14:paraId="24429DA9" w14:textId="68414C3C" w:rsidR="00AD15F2" w:rsidRDefault="00AD15F2" w:rsidP="0070344E">
            <w:pPr>
              <w:pStyle w:val="TableSideHeading"/>
              <w:rPr>
                <w:sz w:val="26"/>
                <w:rtl/>
              </w:rPr>
            </w:pPr>
            <w:r>
              <w:rPr>
                <w:sz w:val="26"/>
                <w:rtl/>
              </w:rPr>
              <w:t xml:space="preserve">הוספת תוספת </w:t>
            </w:r>
            <w:r w:rsidR="0070344E">
              <w:rPr>
                <w:rFonts w:hint="cs"/>
                <w:sz w:val="26"/>
                <w:rtl/>
              </w:rPr>
              <w:t>שביעית</w:t>
            </w:r>
          </w:p>
        </w:tc>
        <w:tc>
          <w:tcPr>
            <w:tcW w:w="624" w:type="dxa"/>
            <w:tcBorders>
              <w:top w:val="nil"/>
              <w:left w:val="nil"/>
              <w:bottom w:val="nil"/>
              <w:right w:val="nil"/>
            </w:tcBorders>
          </w:tcPr>
          <w:p w14:paraId="2AA72471" w14:textId="77777777" w:rsidR="00AD15F2" w:rsidRDefault="00AD15F2" w:rsidP="00B949FE">
            <w:pPr>
              <w:pStyle w:val="TableText"/>
              <w:rPr>
                <w:sz w:val="26"/>
                <w:rtl/>
              </w:rPr>
            </w:pPr>
            <w:r>
              <w:rPr>
                <w:sz w:val="26"/>
                <w:rtl/>
              </w:rPr>
              <w:t>5.</w:t>
            </w:r>
          </w:p>
        </w:tc>
        <w:tc>
          <w:tcPr>
            <w:tcW w:w="7143" w:type="dxa"/>
            <w:gridSpan w:val="3"/>
            <w:tcBorders>
              <w:top w:val="nil"/>
              <w:left w:val="nil"/>
              <w:bottom w:val="nil"/>
              <w:right w:val="nil"/>
            </w:tcBorders>
          </w:tcPr>
          <w:p w14:paraId="692DBC2E" w14:textId="4B9924DB" w:rsidR="00AD15F2" w:rsidRDefault="00AD15F2" w:rsidP="0070344E">
            <w:pPr>
              <w:pStyle w:val="TableBlock"/>
              <w:rPr>
                <w:sz w:val="26"/>
                <w:rtl/>
              </w:rPr>
            </w:pPr>
            <w:r>
              <w:rPr>
                <w:sz w:val="26"/>
                <w:rtl/>
              </w:rPr>
              <w:t>אחרי התוספת ה</w:t>
            </w:r>
            <w:r w:rsidR="0070344E">
              <w:rPr>
                <w:rFonts w:hint="cs"/>
                <w:sz w:val="26"/>
                <w:rtl/>
              </w:rPr>
              <w:t>שישית</w:t>
            </w:r>
            <w:r>
              <w:rPr>
                <w:sz w:val="26"/>
                <w:rtl/>
              </w:rPr>
              <w:t xml:space="preserve"> לחוק העיקרי יבוא:</w:t>
            </w:r>
          </w:p>
        </w:tc>
      </w:tr>
      <w:tr w:rsidR="00AD15F2" w14:paraId="414A0E87" w14:textId="77777777" w:rsidTr="00082C29">
        <w:trPr>
          <w:cantSplit/>
        </w:trPr>
        <w:tc>
          <w:tcPr>
            <w:tcW w:w="1872" w:type="dxa"/>
            <w:tcBorders>
              <w:top w:val="nil"/>
              <w:left w:val="nil"/>
              <w:bottom w:val="nil"/>
              <w:right w:val="nil"/>
            </w:tcBorders>
          </w:tcPr>
          <w:p w14:paraId="01F7C2A8" w14:textId="77777777" w:rsidR="00AD15F2" w:rsidRDefault="00AD15F2" w:rsidP="00B949FE">
            <w:pPr>
              <w:pStyle w:val="TableSideHeading"/>
              <w:rPr>
                <w:sz w:val="26"/>
                <w:rtl/>
              </w:rPr>
            </w:pPr>
          </w:p>
        </w:tc>
        <w:tc>
          <w:tcPr>
            <w:tcW w:w="624" w:type="dxa"/>
            <w:tcBorders>
              <w:top w:val="nil"/>
              <w:left w:val="nil"/>
              <w:bottom w:val="nil"/>
              <w:right w:val="nil"/>
            </w:tcBorders>
          </w:tcPr>
          <w:p w14:paraId="18F35B7C"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4B095D38" w14:textId="4E0A6A5D" w:rsidR="00AD15F2" w:rsidRDefault="00AD15F2" w:rsidP="0070344E">
            <w:pPr>
              <w:pStyle w:val="TableHead"/>
              <w:rPr>
                <w:sz w:val="26"/>
                <w:rtl/>
              </w:rPr>
            </w:pPr>
            <w:r>
              <w:rPr>
                <w:sz w:val="26"/>
                <w:rtl/>
              </w:rPr>
              <w:t xml:space="preserve">"תוספת </w:t>
            </w:r>
            <w:r w:rsidR="0070344E">
              <w:rPr>
                <w:rFonts w:hint="cs"/>
                <w:sz w:val="26"/>
                <w:rtl/>
              </w:rPr>
              <w:t>שביעית</w:t>
            </w:r>
            <w:r>
              <w:rPr>
                <w:sz w:val="26"/>
                <w:rtl/>
              </w:rPr>
              <w:t xml:space="preserve">  </w:t>
            </w:r>
          </w:p>
        </w:tc>
      </w:tr>
      <w:tr w:rsidR="00AD15F2" w14:paraId="259A873C" w14:textId="77777777" w:rsidTr="00082C29">
        <w:trPr>
          <w:cantSplit/>
        </w:trPr>
        <w:tc>
          <w:tcPr>
            <w:tcW w:w="1872" w:type="dxa"/>
            <w:tcBorders>
              <w:top w:val="nil"/>
              <w:left w:val="nil"/>
              <w:bottom w:val="nil"/>
              <w:right w:val="nil"/>
            </w:tcBorders>
          </w:tcPr>
          <w:p w14:paraId="511C1B12" w14:textId="77777777" w:rsidR="00AD15F2" w:rsidRDefault="00AD15F2" w:rsidP="00B949FE">
            <w:pPr>
              <w:pStyle w:val="TableSideHeading"/>
              <w:rPr>
                <w:sz w:val="26"/>
                <w:rtl/>
              </w:rPr>
            </w:pPr>
          </w:p>
        </w:tc>
        <w:tc>
          <w:tcPr>
            <w:tcW w:w="624" w:type="dxa"/>
            <w:tcBorders>
              <w:top w:val="nil"/>
              <w:left w:val="nil"/>
              <w:bottom w:val="nil"/>
              <w:right w:val="nil"/>
            </w:tcBorders>
          </w:tcPr>
          <w:p w14:paraId="3E476D10"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552FCB63" w14:textId="77777777" w:rsidR="00AD15F2" w:rsidRDefault="00AD15F2" w:rsidP="00082C29">
            <w:pPr>
              <w:pStyle w:val="TableHead"/>
              <w:rPr>
                <w:b w:val="0"/>
                <w:bCs w:val="0"/>
                <w:sz w:val="26"/>
                <w:rtl/>
              </w:rPr>
            </w:pPr>
            <w:r>
              <w:rPr>
                <w:b w:val="0"/>
                <w:bCs w:val="0"/>
                <w:sz w:val="26"/>
                <w:rtl/>
              </w:rPr>
              <w:t>(סעיף 62 (ד)(3))</w:t>
            </w:r>
          </w:p>
        </w:tc>
      </w:tr>
      <w:tr w:rsidR="00AD15F2" w14:paraId="778FE92B" w14:textId="77777777" w:rsidTr="00082C29">
        <w:trPr>
          <w:cantSplit/>
        </w:trPr>
        <w:tc>
          <w:tcPr>
            <w:tcW w:w="1872" w:type="dxa"/>
            <w:tcBorders>
              <w:top w:val="nil"/>
              <w:left w:val="nil"/>
              <w:bottom w:val="nil"/>
              <w:right w:val="nil"/>
            </w:tcBorders>
          </w:tcPr>
          <w:p w14:paraId="3442BC59" w14:textId="77777777" w:rsidR="00AD15F2" w:rsidRDefault="00AD15F2" w:rsidP="00B949FE">
            <w:pPr>
              <w:pStyle w:val="TableSideHeading"/>
              <w:rPr>
                <w:sz w:val="26"/>
                <w:rtl/>
              </w:rPr>
            </w:pPr>
          </w:p>
        </w:tc>
        <w:tc>
          <w:tcPr>
            <w:tcW w:w="624" w:type="dxa"/>
            <w:tcBorders>
              <w:top w:val="nil"/>
              <w:left w:val="nil"/>
              <w:bottom w:val="nil"/>
              <w:right w:val="nil"/>
            </w:tcBorders>
          </w:tcPr>
          <w:p w14:paraId="7F407AF8"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67BA77B9" w14:textId="77777777" w:rsidR="00AD15F2" w:rsidRDefault="00AD15F2" w:rsidP="00082C29">
            <w:pPr>
              <w:pStyle w:val="TableBlock"/>
              <w:rPr>
                <w:sz w:val="26"/>
                <w:rtl/>
              </w:rPr>
            </w:pPr>
            <w:r>
              <w:rPr>
                <w:sz w:val="26"/>
                <w:rtl/>
              </w:rPr>
              <w:t>1.</w:t>
            </w:r>
            <w:r>
              <w:rPr>
                <w:sz w:val="26"/>
                <w:rtl/>
              </w:rPr>
              <w:tab/>
              <w:t>עבירות מסוג פשע חמור.</w:t>
            </w:r>
          </w:p>
        </w:tc>
      </w:tr>
      <w:tr w:rsidR="00AD15F2" w14:paraId="5F92E612" w14:textId="77777777" w:rsidTr="00082C29">
        <w:trPr>
          <w:cantSplit/>
        </w:trPr>
        <w:tc>
          <w:tcPr>
            <w:tcW w:w="1872" w:type="dxa"/>
            <w:tcBorders>
              <w:top w:val="nil"/>
              <w:left w:val="nil"/>
              <w:bottom w:val="nil"/>
              <w:right w:val="nil"/>
            </w:tcBorders>
          </w:tcPr>
          <w:p w14:paraId="66F10537" w14:textId="77777777" w:rsidR="00AD15F2" w:rsidRDefault="00AD15F2" w:rsidP="00B949FE">
            <w:pPr>
              <w:pStyle w:val="TableSideHeading"/>
              <w:rPr>
                <w:sz w:val="26"/>
                <w:rtl/>
              </w:rPr>
            </w:pPr>
          </w:p>
        </w:tc>
        <w:tc>
          <w:tcPr>
            <w:tcW w:w="624" w:type="dxa"/>
            <w:tcBorders>
              <w:top w:val="nil"/>
              <w:left w:val="nil"/>
              <w:bottom w:val="nil"/>
              <w:right w:val="nil"/>
            </w:tcBorders>
          </w:tcPr>
          <w:p w14:paraId="4761ECB7"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12C30B3D" w14:textId="77777777" w:rsidR="00AD15F2" w:rsidRDefault="00AD15F2" w:rsidP="00082C29">
            <w:pPr>
              <w:pStyle w:val="TableBlock"/>
              <w:rPr>
                <w:sz w:val="26"/>
                <w:rtl/>
              </w:rPr>
            </w:pPr>
            <w:r>
              <w:rPr>
                <w:sz w:val="26"/>
                <w:rtl/>
              </w:rPr>
              <w:t>2.</w:t>
            </w:r>
            <w:r>
              <w:rPr>
                <w:sz w:val="26"/>
                <w:rtl/>
              </w:rPr>
              <w:tab/>
              <w:t>עבירות הנדרשת בהן חקירה הכוללת גביית עדויות או השגת מסמכים מגורמים הנמצאים מחוץ לישראל."</w:t>
            </w:r>
          </w:p>
        </w:tc>
      </w:tr>
    </w:tbl>
    <w:p w14:paraId="7F6961CA" w14:textId="77777777" w:rsidR="002D1EE3" w:rsidRDefault="002D1EE3" w:rsidP="002D1EE3">
      <w:pPr>
        <w:pStyle w:val="HeadDivreiHesber"/>
        <w:rPr>
          <w:rtl/>
        </w:rPr>
      </w:pPr>
      <w:r w:rsidRPr="0027450A">
        <w:rPr>
          <w:rFonts w:hint="cs"/>
          <w:rtl/>
        </w:rPr>
        <w:lastRenderedPageBreak/>
        <w:t>דברי הסבר</w:t>
      </w:r>
    </w:p>
    <w:p w14:paraId="60AC1F53" w14:textId="77777777" w:rsidR="00AD15F2" w:rsidRPr="00082C29" w:rsidRDefault="00AD15F2" w:rsidP="00082C29">
      <w:pPr>
        <w:pStyle w:val="HesberHeading"/>
        <w:rPr>
          <w:rtl/>
        </w:rPr>
      </w:pPr>
      <w:r w:rsidRPr="00082C29">
        <w:rPr>
          <w:rtl/>
        </w:rPr>
        <w:t>כללי</w:t>
      </w:r>
    </w:p>
    <w:p w14:paraId="463A8D5E" w14:textId="6D927305" w:rsidR="00AD15F2" w:rsidRPr="00082C29" w:rsidRDefault="00AD15F2" w:rsidP="00082C29">
      <w:pPr>
        <w:pStyle w:val="Hesber"/>
        <w:rPr>
          <w:rtl/>
        </w:rPr>
      </w:pPr>
      <w:r w:rsidRPr="00082C29">
        <w:rPr>
          <w:rtl/>
        </w:rPr>
        <w:t>ההמתנה של אדם לתום החקירה המשטרתית מותירה אותו באי ודאות לגבי עתידו, ולכך השלכות משמעותיות על חייו. יתר על כן, לעתים יש בכוחה של החקירה לפגוע בכבודו ובשמו הטוב של החשו</w:t>
      </w:r>
      <w:r w:rsidR="0070344E">
        <w:rPr>
          <w:rtl/>
        </w:rPr>
        <w:t>ד, במעמדו החברתי, במקור פרנסתו</w:t>
      </w:r>
      <w:r w:rsidR="0070344E">
        <w:rPr>
          <w:rFonts w:hint="cs"/>
          <w:rtl/>
        </w:rPr>
        <w:t xml:space="preserve">, </w:t>
      </w:r>
      <w:r w:rsidRPr="00082C29">
        <w:rPr>
          <w:rtl/>
        </w:rPr>
        <w:t>באינטרסים חשובים אחרים שלו ובתפקודו של גוף שבו הוא ממלא תפקיד. על כן</w:t>
      </w:r>
      <w:r w:rsidR="0070344E">
        <w:rPr>
          <w:rtl/>
        </w:rPr>
        <w:t xml:space="preserve">, מן הראוי לצמצם את משך החקירה </w:t>
      </w:r>
      <w:r w:rsidR="0070344E">
        <w:rPr>
          <w:rFonts w:hint="cs"/>
          <w:rtl/>
        </w:rPr>
        <w:t>כדי</w:t>
      </w:r>
      <w:r w:rsidRPr="00082C29">
        <w:rPr>
          <w:rtl/>
        </w:rPr>
        <w:t xml:space="preserve"> להפחית עד כמה שניתן את הפגיעה במי שמתנהלת נגדו חקירה.</w:t>
      </w:r>
    </w:p>
    <w:p w14:paraId="4F4E1D4C" w14:textId="77777777" w:rsidR="00AD15F2" w:rsidRPr="00082C29" w:rsidRDefault="00AD15F2" w:rsidP="00082C29">
      <w:pPr>
        <w:pStyle w:val="Hesber"/>
        <w:rPr>
          <w:rtl/>
        </w:rPr>
      </w:pPr>
      <w:r w:rsidRPr="00082C29">
        <w:rPr>
          <w:rtl/>
        </w:rPr>
        <w:t>הסעיף מביא לידי ביטוי את החשיבות שרואה המחוקק בצמצום משך החקירה, תוך שהוא יוצר איזון בין זכויות חשודים ונחקרים לבין אינטרס הציבור במיצוי הליכי החקירה עד תום ואכיפת החוק.</w:t>
      </w:r>
    </w:p>
    <w:p w14:paraId="02C6D7C3" w14:textId="774A3B71" w:rsidR="00AD15F2" w:rsidRPr="00082C29" w:rsidRDefault="00AD15F2" w:rsidP="00082C29">
      <w:pPr>
        <w:pStyle w:val="Hesber"/>
        <w:rPr>
          <w:rtl/>
        </w:rPr>
      </w:pPr>
      <w:r w:rsidRPr="00082C29">
        <w:rPr>
          <w:rtl/>
        </w:rPr>
        <w:t>הוראת חוק זו אינה נוגעת לפעולות המשטרה לשם איסוף מידע מודיעיני, שכן הידיעה בדבר ביצוע העבירה המוזכרת בסעיף 59 כמועד פתיחת החקירה מתגבשת רק בסוף תהליך איסוף המידע. מועד תחילת החקירה, שבו עוסק סעיף זה, הוא המוע</w:t>
      </w:r>
      <w:r w:rsidR="001C4D50">
        <w:rPr>
          <w:rtl/>
        </w:rPr>
        <w:t>ד שבו התגבש חשד בביצוע עבירה ע</w:t>
      </w:r>
      <w:r w:rsidR="001C4D50">
        <w:rPr>
          <w:rFonts w:hint="cs"/>
          <w:rtl/>
        </w:rPr>
        <w:t>ל ידי</w:t>
      </w:r>
      <w:r w:rsidRPr="00082C29">
        <w:rPr>
          <w:rtl/>
        </w:rPr>
        <w:t xml:space="preserve"> אדם או תאגיד. </w:t>
      </w:r>
    </w:p>
    <w:p w14:paraId="214FFD94" w14:textId="77777777" w:rsidR="00AD15F2" w:rsidRPr="00082C29" w:rsidRDefault="00AD15F2" w:rsidP="00082C29">
      <w:pPr>
        <w:pStyle w:val="HesberHeading"/>
        <w:rPr>
          <w:rtl/>
        </w:rPr>
      </w:pPr>
      <w:r w:rsidRPr="00082C29">
        <w:rPr>
          <w:rtl/>
        </w:rPr>
        <w:t>לסעיף 59(ב)(1) המוצע</w:t>
      </w:r>
    </w:p>
    <w:p w14:paraId="14BFD0EA" w14:textId="77777777" w:rsidR="00AD15F2" w:rsidRPr="00082C29" w:rsidRDefault="00AD15F2" w:rsidP="00AD15F2">
      <w:pPr>
        <w:pStyle w:val="Hesber"/>
        <w:rPr>
          <w:rtl/>
        </w:rPr>
      </w:pPr>
      <w:r w:rsidRPr="00082C29">
        <w:rPr>
          <w:rtl/>
        </w:rPr>
        <w:t>אם ניתן לעשות כן, חובתם של גורמי החקירה לצמצם את משך החקירה למינימום – אף פחות מאשר משכי הזמן הקבועים בסעיף (ב)(2).</w:t>
      </w:r>
    </w:p>
    <w:p w14:paraId="1DBE69B1" w14:textId="77777777" w:rsidR="00AD15F2" w:rsidRPr="00082C29" w:rsidRDefault="00AD15F2" w:rsidP="00082C29">
      <w:pPr>
        <w:pStyle w:val="HesberHeading"/>
        <w:rPr>
          <w:rtl/>
        </w:rPr>
      </w:pPr>
      <w:r w:rsidRPr="00082C29">
        <w:rPr>
          <w:rtl/>
        </w:rPr>
        <w:t>לסעיף 59(ב)(2) המוצע</w:t>
      </w:r>
    </w:p>
    <w:p w14:paraId="2CE9661F" w14:textId="77777777" w:rsidR="00AD15F2" w:rsidRPr="00082C29" w:rsidRDefault="00AD15F2" w:rsidP="00AD15F2">
      <w:pPr>
        <w:pStyle w:val="Hesber"/>
        <w:rPr>
          <w:rtl/>
        </w:rPr>
      </w:pPr>
      <w:r w:rsidRPr="00082C29">
        <w:rPr>
          <w:rtl/>
        </w:rPr>
        <w:t>סעיף זה קובע משכי זמן שונים המותרים לחקר חשדות שונים. הסעיף מבחין בין עבירות לפי סוגן ולפי חומרתן, מתוך הכרה במורכבות השונה של החקירה של עבירות מסוגים שונים, ובכך שהאינטרס הציבורי באכיפת החוק בעבירות חמורות מצדיק הארכת משך החקירה על אף הפגיעה הנגרמת כתוצאה מחקירה ממושכת יותר.</w:t>
      </w:r>
    </w:p>
    <w:p w14:paraId="10FF7D4B" w14:textId="77777777" w:rsidR="00AD15F2" w:rsidRPr="00082C29" w:rsidRDefault="00AD15F2" w:rsidP="00AD15F2">
      <w:pPr>
        <w:pStyle w:val="Hesber"/>
        <w:rPr>
          <w:rtl/>
        </w:rPr>
      </w:pPr>
      <w:r w:rsidRPr="00082C29">
        <w:rPr>
          <w:rtl/>
        </w:rPr>
        <w:t xml:space="preserve">משכי הזמן הקבועים בסעיף הם משכי זמן מרביים והציפייה היא לכך שחקירות של עניינים פשוטים יארכו תקופות קצרות בהרבה מאלו הקבועות בסעיף. </w:t>
      </w:r>
    </w:p>
    <w:p w14:paraId="34766B68" w14:textId="77777777" w:rsidR="00AD15F2" w:rsidRPr="00082C29" w:rsidRDefault="00AD15F2" w:rsidP="00AD15F2">
      <w:pPr>
        <w:pStyle w:val="Hesber"/>
        <w:rPr>
          <w:rtl/>
        </w:rPr>
      </w:pPr>
      <w:r w:rsidRPr="00082C29">
        <w:rPr>
          <w:rtl/>
        </w:rPr>
        <w:t xml:space="preserve">בעבירות שהעונש בגינן הוא 10 שנות מאסר או יותר, האינטרס הציבורי במיצוי הליכי החקירה ובגילוי האמת גובר על אינטרס החשוד </w:t>
      </w:r>
      <w:proofErr w:type="spellStart"/>
      <w:r w:rsidRPr="00082C29">
        <w:rPr>
          <w:rtl/>
        </w:rPr>
        <w:t>בקציבת</w:t>
      </w:r>
      <w:proofErr w:type="spellEnd"/>
      <w:r w:rsidRPr="00082C29">
        <w:rPr>
          <w:rtl/>
        </w:rPr>
        <w:t xml:space="preserve"> משך זמן החקירה, על כן בעבירות אלו מן הראוי שלא יוגבל משך זמן החקירה.</w:t>
      </w:r>
    </w:p>
    <w:p w14:paraId="3E03415C" w14:textId="77777777" w:rsidR="00AD15F2" w:rsidRPr="00082C29" w:rsidRDefault="00AD15F2" w:rsidP="00082C29">
      <w:pPr>
        <w:pStyle w:val="HesberHeading"/>
        <w:rPr>
          <w:rtl/>
        </w:rPr>
      </w:pPr>
      <w:r w:rsidRPr="00082C29">
        <w:rPr>
          <w:rtl/>
        </w:rPr>
        <w:t>לסעיף 59(ב)(3) המוצע</w:t>
      </w:r>
    </w:p>
    <w:p w14:paraId="1DEF3254" w14:textId="77777777" w:rsidR="00AD15F2" w:rsidRPr="00082C29" w:rsidRDefault="00AD15F2" w:rsidP="00AD15F2">
      <w:pPr>
        <w:pStyle w:val="Hesber"/>
        <w:rPr>
          <w:rtl/>
        </w:rPr>
      </w:pPr>
      <w:r w:rsidRPr="00082C29">
        <w:rPr>
          <w:rtl/>
        </w:rPr>
        <w:t>סעיף זה נובע מן ההכרה בכך שייתכנו מקרים יוצאי דופן, שבהם תידרש חקירה ארוכה יותר מן המקובל. בפסקה 4 קבועים במפורש שני סוגי מקרים יוצאי דופן שמצריכים חקירה ארוכה מן המקובל.</w:t>
      </w:r>
    </w:p>
    <w:p w14:paraId="7C6A7410" w14:textId="77777777" w:rsidR="00AD15F2" w:rsidRPr="00082C29" w:rsidRDefault="00AD15F2" w:rsidP="00082C29">
      <w:pPr>
        <w:pStyle w:val="HesberHeading"/>
        <w:rPr>
          <w:rtl/>
        </w:rPr>
      </w:pPr>
      <w:r w:rsidRPr="00082C29">
        <w:rPr>
          <w:rtl/>
        </w:rPr>
        <w:t>לסעיף 59(ב)(5) המוצע</w:t>
      </w:r>
    </w:p>
    <w:p w14:paraId="1AF388D2" w14:textId="77777777" w:rsidR="00AD15F2" w:rsidRPr="00082C29" w:rsidRDefault="00AD15F2" w:rsidP="00AD15F2">
      <w:pPr>
        <w:pStyle w:val="Hesber"/>
        <w:rPr>
          <w:rtl/>
        </w:rPr>
      </w:pPr>
      <w:r w:rsidRPr="00082C29">
        <w:rPr>
          <w:rtl/>
        </w:rPr>
        <w:t xml:space="preserve">סעיף זה קובע כלל פסילה יחסי של ראיות שהושגו בחקירה שנערכה בניגוד להוראות הסעיף, בדומה לכלל הקבוע בסעיף 32 לחוק הגנת הפרטיות, </w:t>
      </w:r>
      <w:proofErr w:type="spellStart"/>
      <w:r w:rsidRPr="00082C29">
        <w:rPr>
          <w:rtl/>
        </w:rPr>
        <w:t>התשמ"א</w:t>
      </w:r>
      <w:proofErr w:type="spellEnd"/>
      <w:r w:rsidRPr="00082C29">
        <w:rPr>
          <w:rtl/>
        </w:rPr>
        <w:t xml:space="preserve">–1981. </w:t>
      </w:r>
    </w:p>
    <w:p w14:paraId="0BD48F46" w14:textId="77777777" w:rsidR="00AD15F2" w:rsidRPr="00082C29" w:rsidRDefault="00AD15F2" w:rsidP="00082C29">
      <w:pPr>
        <w:pStyle w:val="HesberHeading"/>
        <w:rPr>
          <w:rtl/>
        </w:rPr>
      </w:pPr>
      <w:r w:rsidRPr="00082C29">
        <w:rPr>
          <w:rtl/>
        </w:rPr>
        <w:t>לסעיף 61 המוצע</w:t>
      </w:r>
    </w:p>
    <w:p w14:paraId="74891FA2" w14:textId="77777777" w:rsidR="00AD15F2" w:rsidRPr="00082C29" w:rsidRDefault="00AD15F2" w:rsidP="00AD15F2">
      <w:pPr>
        <w:pStyle w:val="Hesber"/>
        <w:rPr>
          <w:rtl/>
        </w:rPr>
      </w:pPr>
      <w:r w:rsidRPr="00082C29">
        <w:rPr>
          <w:rtl/>
        </w:rPr>
        <w:t xml:space="preserve">מאותם </w:t>
      </w:r>
      <w:proofErr w:type="spellStart"/>
      <w:r w:rsidRPr="00082C29">
        <w:rPr>
          <w:rtl/>
        </w:rPr>
        <w:t>רציונאלים</w:t>
      </w:r>
      <w:proofErr w:type="spellEnd"/>
      <w:r w:rsidRPr="00082C29">
        <w:rPr>
          <w:rtl/>
        </w:rPr>
        <w:t xml:space="preserve"> של הצורך בהגבלת זמן החקירה המשטרתית יש גם לתחום בזמן את השלמת החקירה אם התבקשה על ידי התובע, שאם לא כן תרוקן תכלית החוק מתוכנה. בסעיף קבוע מנגנון הארכה המקנה את הסמכות לפרקליט המחוז.</w:t>
      </w:r>
    </w:p>
    <w:p w14:paraId="596E7256" w14:textId="77777777" w:rsidR="00AD15F2" w:rsidRPr="00082C29" w:rsidRDefault="00AD15F2" w:rsidP="00082C29">
      <w:pPr>
        <w:pStyle w:val="HesberHeading"/>
        <w:rPr>
          <w:rtl/>
        </w:rPr>
      </w:pPr>
      <w:r w:rsidRPr="00082C29">
        <w:rPr>
          <w:rtl/>
        </w:rPr>
        <w:t>לסעיף 62(ד) המוצע</w:t>
      </w:r>
    </w:p>
    <w:p w14:paraId="7D253371" w14:textId="77777777" w:rsidR="00AD15F2" w:rsidRPr="00082C29" w:rsidRDefault="00AD15F2" w:rsidP="00AD15F2">
      <w:pPr>
        <w:pStyle w:val="Hesber"/>
        <w:rPr>
          <w:rtl/>
        </w:rPr>
      </w:pPr>
      <w:r w:rsidRPr="00082C29">
        <w:rPr>
          <w:rtl/>
        </w:rPr>
        <w:t xml:space="preserve">מאותם </w:t>
      </w:r>
      <w:proofErr w:type="spellStart"/>
      <w:r w:rsidRPr="00082C29">
        <w:rPr>
          <w:rtl/>
        </w:rPr>
        <w:t>רציונאלים</w:t>
      </w:r>
      <w:proofErr w:type="spellEnd"/>
      <w:r w:rsidRPr="00082C29">
        <w:rPr>
          <w:rtl/>
        </w:rPr>
        <w:t xml:space="preserve"> של הצורך בהגבלת זמן החקירה המשטרתית יש לתחום גם את משך זמן הטיפול</w:t>
      </w:r>
      <w:r>
        <w:rPr>
          <w:sz w:val="26"/>
          <w:rtl/>
        </w:rPr>
        <w:t xml:space="preserve"> </w:t>
      </w:r>
      <w:r w:rsidRPr="00082C29">
        <w:rPr>
          <w:rtl/>
        </w:rPr>
        <w:lastRenderedPageBreak/>
        <w:t xml:space="preserve">בתיק על ידי התובע, ולקבוע את משך הזמן שבמסגרתו עליו להגיש כתב אישום אם החליט שיש מקום להגישו. </w:t>
      </w:r>
    </w:p>
    <w:p w14:paraId="17336CF7" w14:textId="77777777" w:rsidR="00AD15F2" w:rsidRPr="00082C29" w:rsidRDefault="00AD15F2" w:rsidP="00AD15F2">
      <w:pPr>
        <w:pStyle w:val="Hesber"/>
        <w:rPr>
          <w:rtl/>
        </w:rPr>
      </w:pPr>
      <w:r w:rsidRPr="00082C29">
        <w:rPr>
          <w:rtl/>
        </w:rPr>
        <w:t xml:space="preserve">סעיף החוק מבחין בין סוגי תובעים שונים על בסיס ההנחה שתיקים המטופלים על ידי הפרקליטות מורכבים יותר מהתיקים המטופלים על ידי התביעה המשטרתית, ולכן זמן הטיפול הדרוש בהם ממושך יותר. </w:t>
      </w:r>
    </w:p>
    <w:p w14:paraId="2AE7FD66" w14:textId="243C2E41" w:rsidR="00AD15F2" w:rsidRPr="00082C29" w:rsidRDefault="00AD15F2" w:rsidP="003F3B95">
      <w:pPr>
        <w:pStyle w:val="Hesber"/>
        <w:rPr>
          <w:rtl/>
        </w:rPr>
      </w:pPr>
      <w:r w:rsidRPr="00082C29">
        <w:rPr>
          <w:rtl/>
        </w:rPr>
        <w:t xml:space="preserve">בתיקון זה צורפה תוספת </w:t>
      </w:r>
      <w:r w:rsidR="003F3B95">
        <w:rPr>
          <w:rFonts w:hint="cs"/>
          <w:rtl/>
        </w:rPr>
        <w:t>שב</w:t>
      </w:r>
      <w:r w:rsidRPr="00082C29">
        <w:rPr>
          <w:rtl/>
        </w:rPr>
        <w:t xml:space="preserve">יעית לחוק. העבירות המנויות בתוספת הן עבירות שמשך זמן הטיפול בהן ארוך יותר. מדובר בעיקר בעבירות חמורות או בין-לאומיות שמטבען מסתעפות לנאשמים </w:t>
      </w:r>
      <w:proofErr w:type="spellStart"/>
      <w:r w:rsidRPr="00082C29">
        <w:rPr>
          <w:rtl/>
        </w:rPr>
        <w:t>ואישומים</w:t>
      </w:r>
      <w:proofErr w:type="spellEnd"/>
      <w:r w:rsidRPr="00082C29">
        <w:rPr>
          <w:rtl/>
        </w:rPr>
        <w:t xml:space="preserve"> מרובים.</w:t>
      </w:r>
    </w:p>
    <w:p w14:paraId="20F0F857" w14:textId="77777777" w:rsidR="00AD15F2" w:rsidRPr="00082C29" w:rsidRDefault="00AD15F2" w:rsidP="00082C29">
      <w:pPr>
        <w:pStyle w:val="HesberHeading"/>
        <w:rPr>
          <w:rtl/>
        </w:rPr>
      </w:pPr>
      <w:r w:rsidRPr="00082C29">
        <w:rPr>
          <w:rtl/>
        </w:rPr>
        <w:t>לסעיף 62(ה) המוצע</w:t>
      </w:r>
    </w:p>
    <w:p w14:paraId="5773E39E" w14:textId="77777777" w:rsidR="00AD15F2" w:rsidRPr="00082C29" w:rsidRDefault="00AD15F2" w:rsidP="00AD15F2">
      <w:pPr>
        <w:pStyle w:val="Hesber"/>
        <w:rPr>
          <w:rtl/>
        </w:rPr>
      </w:pPr>
      <w:r w:rsidRPr="00082C29">
        <w:rPr>
          <w:rtl/>
        </w:rPr>
        <w:t xml:space="preserve">סעיף זה קובע כי בית המשפט לא יהיה מוסמך לדון בכתב אישום שהוגש באיחור על ידי התביעה. </w:t>
      </w:r>
    </w:p>
    <w:p w14:paraId="791E9A26" w14:textId="29EA9023" w:rsidR="00AD15F2" w:rsidRPr="00082C29" w:rsidRDefault="00AD15F2" w:rsidP="00AD15F2">
      <w:pPr>
        <w:pStyle w:val="Hesber"/>
        <w:rPr>
          <w:rtl/>
        </w:rPr>
      </w:pPr>
      <w:r w:rsidRPr="00082C29">
        <w:rPr>
          <w:rtl/>
        </w:rPr>
        <w:t>הצעת חוק דומה בעיקרה הונחה על שולחן הכנסת השבע-עשרה על ידי חבר הכנסת דב חנין</w:t>
      </w:r>
      <w:r w:rsidR="003F3B95">
        <w:rPr>
          <w:rFonts w:hint="cs"/>
          <w:rtl/>
        </w:rPr>
        <w:t xml:space="preserve"> וקבוצת חברי הכנסת</w:t>
      </w:r>
      <w:r w:rsidRPr="00082C29">
        <w:rPr>
          <w:rtl/>
        </w:rPr>
        <w:t xml:space="preserve"> (פ/2194/17). </w:t>
      </w:r>
    </w:p>
    <w:p w14:paraId="3F638348" w14:textId="75D75D6D" w:rsidR="00AD15F2" w:rsidRPr="00082C29" w:rsidRDefault="00AD15F2" w:rsidP="001D28F7">
      <w:pPr>
        <w:pStyle w:val="Hesber"/>
        <w:rPr>
          <w:rtl/>
        </w:rPr>
      </w:pPr>
      <w:r w:rsidRPr="00082C29">
        <w:rPr>
          <w:rtl/>
        </w:rPr>
        <w:t>הצע</w:t>
      </w:r>
      <w:r w:rsidR="001C4D50">
        <w:rPr>
          <w:rFonts w:hint="cs"/>
          <w:rtl/>
        </w:rPr>
        <w:t>ו</w:t>
      </w:r>
      <w:r w:rsidRPr="00082C29">
        <w:rPr>
          <w:rtl/>
        </w:rPr>
        <w:t>ת חוק זה</w:t>
      </w:r>
      <w:r w:rsidR="003F3B95">
        <w:rPr>
          <w:rFonts w:hint="cs"/>
          <w:rtl/>
        </w:rPr>
        <w:t>ות</w:t>
      </w:r>
      <w:r w:rsidRPr="00082C29">
        <w:rPr>
          <w:rtl/>
        </w:rPr>
        <w:t xml:space="preserve"> הונח</w:t>
      </w:r>
      <w:r w:rsidR="003F3B95">
        <w:rPr>
          <w:rFonts w:hint="cs"/>
          <w:rtl/>
        </w:rPr>
        <w:t>ו</w:t>
      </w:r>
      <w:r w:rsidRPr="00082C29">
        <w:rPr>
          <w:rtl/>
        </w:rPr>
        <w:t xml:space="preserve"> על שולחן הכנסת השמונה-עשרה</w:t>
      </w:r>
      <w:r w:rsidR="003F3B95">
        <w:rPr>
          <w:rFonts w:hint="cs"/>
          <w:rtl/>
        </w:rPr>
        <w:t xml:space="preserve"> </w:t>
      </w:r>
      <w:r w:rsidR="003F3B95" w:rsidRPr="00082C29">
        <w:rPr>
          <w:rFonts w:hint="cs"/>
          <w:rtl/>
        </w:rPr>
        <w:t>ו</w:t>
      </w:r>
      <w:r w:rsidR="003F3B95" w:rsidRPr="00082C29">
        <w:rPr>
          <w:rtl/>
        </w:rPr>
        <w:t>על שולחן הכנסת ה</w:t>
      </w:r>
      <w:r w:rsidR="003F3B95" w:rsidRPr="00082C29">
        <w:rPr>
          <w:rFonts w:hint="cs"/>
          <w:rtl/>
        </w:rPr>
        <w:t>תשע</w:t>
      </w:r>
      <w:r w:rsidR="003F3B95" w:rsidRPr="00082C29">
        <w:rPr>
          <w:rtl/>
        </w:rPr>
        <w:t>-עשרה</w:t>
      </w:r>
      <w:r w:rsidRPr="00082C29">
        <w:rPr>
          <w:rtl/>
        </w:rPr>
        <w:t xml:space="preserve"> על ידי חבר הכנסת דב חנין וקבוצת חברי הכנסת (פ/1104/18</w:t>
      </w:r>
      <w:r w:rsidR="003F3B95">
        <w:rPr>
          <w:rFonts w:hint="cs"/>
          <w:rtl/>
        </w:rPr>
        <w:t xml:space="preserve">; </w:t>
      </w:r>
      <w:r w:rsidRPr="00082C29">
        <w:rPr>
          <w:rtl/>
        </w:rPr>
        <w:t>פ/</w:t>
      </w:r>
      <w:r w:rsidRPr="00082C29">
        <w:rPr>
          <w:rFonts w:hint="cs"/>
          <w:rtl/>
        </w:rPr>
        <w:t>65</w:t>
      </w:r>
      <w:r w:rsidRPr="00082C29">
        <w:rPr>
          <w:rtl/>
        </w:rPr>
        <w:t>/1</w:t>
      </w:r>
      <w:r w:rsidR="001D28F7">
        <w:rPr>
          <w:rFonts w:hint="cs"/>
          <w:rtl/>
        </w:rPr>
        <w:t>9</w:t>
      </w:r>
      <w:r w:rsidRPr="00082C29">
        <w:rPr>
          <w:rtl/>
        </w:rPr>
        <w:t>).</w:t>
      </w:r>
    </w:p>
    <w:p w14:paraId="260C9459" w14:textId="77777777" w:rsidR="00AD15F2" w:rsidRDefault="00AD15F2" w:rsidP="00AD15F2">
      <w:pPr>
        <w:pStyle w:val="Hesber"/>
        <w:rPr>
          <w:sz w:val="26"/>
          <w:rtl/>
        </w:rPr>
      </w:pPr>
    </w:p>
    <w:p w14:paraId="200B501A" w14:textId="2DC1F86F" w:rsidR="001C4D50" w:rsidRDefault="001C4D50" w:rsidP="00AD15F2">
      <w:pPr>
        <w:pStyle w:val="Hesber"/>
        <w:rPr>
          <w:sz w:val="26"/>
          <w:rtl/>
        </w:rPr>
      </w:pPr>
    </w:p>
    <w:p w14:paraId="6790816C" w14:textId="77777777" w:rsidR="001C4D50" w:rsidRDefault="001C4D50" w:rsidP="00AD15F2">
      <w:pPr>
        <w:pStyle w:val="Hesber"/>
        <w:rPr>
          <w:sz w:val="26"/>
          <w:rtl/>
        </w:rPr>
      </w:pPr>
    </w:p>
    <w:p w14:paraId="7C534882" w14:textId="77777777" w:rsidR="001C4D50" w:rsidRPr="0022704F" w:rsidRDefault="001C4D50" w:rsidP="001C4D50">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22119199" w14:textId="77777777" w:rsidR="001C4D50" w:rsidRPr="0022704F" w:rsidRDefault="001C4D50" w:rsidP="001C4D50">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70B637D" w14:textId="77777777" w:rsidR="001C4D50" w:rsidRPr="0022704F" w:rsidRDefault="001C4D50" w:rsidP="001C4D50">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AF48223" w14:textId="77777777" w:rsidR="001C4D50" w:rsidRPr="00935520" w:rsidRDefault="001C4D50" w:rsidP="001C4D50">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כ"ט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01313663" w14:textId="77777777" w:rsidR="001C4D50" w:rsidRPr="00E635D3" w:rsidRDefault="001C4D50" w:rsidP="001C4D50">
      <w:pPr>
        <w:ind w:left="340" w:firstLine="0"/>
        <w:rPr>
          <w:rFonts w:ascii="Arial" w:eastAsia="Arial Unicode MS" w:hAnsi="Arial" w:cs="David"/>
          <w:snapToGrid w:val="0"/>
          <w:spacing w:val="0"/>
          <w:sz w:val="20"/>
          <w:szCs w:val="26"/>
          <w:rtl/>
        </w:rPr>
      </w:pPr>
    </w:p>
    <w:p w14:paraId="580013E2" w14:textId="77777777" w:rsidR="001C4D50" w:rsidRPr="00BE2391" w:rsidRDefault="001C4D50" w:rsidP="001C4D50">
      <w:pPr>
        <w:spacing w:line="360" w:lineRule="auto"/>
      </w:pPr>
    </w:p>
    <w:p w14:paraId="7F6961CB" w14:textId="77777777" w:rsidR="00E13C27" w:rsidRPr="001C4D50" w:rsidRDefault="00E13C27" w:rsidP="00E13C27">
      <w:pPr>
        <w:pStyle w:val="Hesber"/>
        <w:rPr>
          <w:rtl/>
        </w:rPr>
      </w:pPr>
    </w:p>
    <w:sectPr w:rsidR="00E13C27" w:rsidRPr="001C4D5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B5574">
      <w:rPr>
        <w:rStyle w:val="ab"/>
        <w:noProof/>
        <w:rtl/>
      </w:rPr>
      <w:t>4</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2191223F" w14:textId="77777777" w:rsidR="00AD15F2" w:rsidRDefault="00AD15F2" w:rsidP="00AD15F2">
      <w:pPr>
        <w:pStyle w:val="a4"/>
      </w:pPr>
      <w:r>
        <w:rPr>
          <w:rStyle w:val="a6"/>
        </w:rPr>
        <w:footnoteRef/>
      </w:r>
      <w:r>
        <w:rPr>
          <w:sz w:val="20"/>
          <w:rtl/>
        </w:rPr>
        <w:t xml:space="preserve"> ס"ח </w:t>
      </w:r>
      <w:proofErr w:type="spellStart"/>
      <w:r>
        <w:rPr>
          <w:sz w:val="20"/>
          <w:rtl/>
        </w:rPr>
        <w:t>התשמ"ב</w:t>
      </w:r>
      <w:proofErr w:type="spellEnd"/>
      <w:r>
        <w:rPr>
          <w:sz w:val="20"/>
          <w:rtl/>
        </w:rPr>
        <w:t>, עמ' 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82C29"/>
    <w:rsid w:val="000A542E"/>
    <w:rsid w:val="00102B6B"/>
    <w:rsid w:val="001052D4"/>
    <w:rsid w:val="0010644B"/>
    <w:rsid w:val="001207F8"/>
    <w:rsid w:val="00121924"/>
    <w:rsid w:val="001279A8"/>
    <w:rsid w:val="0014195F"/>
    <w:rsid w:val="00152609"/>
    <w:rsid w:val="00153E1B"/>
    <w:rsid w:val="001A0623"/>
    <w:rsid w:val="001C23B0"/>
    <w:rsid w:val="001C4D50"/>
    <w:rsid w:val="001D28F7"/>
    <w:rsid w:val="00203A7F"/>
    <w:rsid w:val="00211009"/>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3F3B95"/>
    <w:rsid w:val="004033D8"/>
    <w:rsid w:val="004073F0"/>
    <w:rsid w:val="00412A7D"/>
    <w:rsid w:val="00416B4D"/>
    <w:rsid w:val="00417CFC"/>
    <w:rsid w:val="004B24ED"/>
    <w:rsid w:val="004B5574"/>
    <w:rsid w:val="004D2D82"/>
    <w:rsid w:val="004D3876"/>
    <w:rsid w:val="004E4552"/>
    <w:rsid w:val="00553C9D"/>
    <w:rsid w:val="00562A66"/>
    <w:rsid w:val="005B064E"/>
    <w:rsid w:val="005D51AE"/>
    <w:rsid w:val="0062674B"/>
    <w:rsid w:val="006363B2"/>
    <w:rsid w:val="00644940"/>
    <w:rsid w:val="006818A9"/>
    <w:rsid w:val="006A2D81"/>
    <w:rsid w:val="006C1D0D"/>
    <w:rsid w:val="0070344E"/>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B5FAB"/>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261C"/>
    <w:rsid w:val="009A7257"/>
    <w:rsid w:val="009D6E0A"/>
    <w:rsid w:val="00A025F0"/>
    <w:rsid w:val="00A14672"/>
    <w:rsid w:val="00A26BD6"/>
    <w:rsid w:val="00A443CF"/>
    <w:rsid w:val="00A6611D"/>
    <w:rsid w:val="00A82CB7"/>
    <w:rsid w:val="00AA2F03"/>
    <w:rsid w:val="00AC36F7"/>
    <w:rsid w:val="00AC63A4"/>
    <w:rsid w:val="00AD15F2"/>
    <w:rsid w:val="00AD239E"/>
    <w:rsid w:val="00B10265"/>
    <w:rsid w:val="00B21211"/>
    <w:rsid w:val="00B35784"/>
    <w:rsid w:val="00B733A7"/>
    <w:rsid w:val="00B975AD"/>
    <w:rsid w:val="00BC45FB"/>
    <w:rsid w:val="00BF148D"/>
    <w:rsid w:val="00C23B1A"/>
    <w:rsid w:val="00C310EB"/>
    <w:rsid w:val="00C9176A"/>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68E30D8-DB82-4D59-A3E6-B5611040D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2C2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82C2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82C29"/>
    <w:rPr>
      <w:sz w:val="36"/>
      <w:szCs w:val="52"/>
    </w:rPr>
  </w:style>
  <w:style w:type="paragraph" w:customStyle="1" w:styleId="Cover3-Haknesset">
    <w:name w:val="Cover 3-Haknesset"/>
    <w:basedOn w:val="Cover1-Reshumot"/>
    <w:rsid w:val="00082C29"/>
    <w:rPr>
      <w:b/>
      <w:bCs/>
      <w:spacing w:val="60"/>
    </w:rPr>
  </w:style>
  <w:style w:type="paragraph" w:customStyle="1" w:styleId="Cover4-Date">
    <w:name w:val="Cover 4-Date"/>
    <w:basedOn w:val="a"/>
    <w:rsid w:val="00082C2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82C2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82C2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82C29"/>
    <w:pPr>
      <w:spacing w:before="120" w:after="120"/>
    </w:pPr>
    <w:rPr>
      <w:color w:val="FF0000"/>
      <w:w w:val="80"/>
    </w:rPr>
  </w:style>
  <w:style w:type="paragraph" w:styleId="a3">
    <w:name w:val="endnote text"/>
    <w:basedOn w:val="a"/>
    <w:semiHidden/>
    <w:rsid w:val="00082C29"/>
    <w:pPr>
      <w:ind w:left="227" w:hanging="227"/>
    </w:pPr>
    <w:rPr>
      <w:sz w:val="14"/>
      <w:szCs w:val="22"/>
    </w:rPr>
  </w:style>
  <w:style w:type="paragraph" w:customStyle="1" w:styleId="TableText">
    <w:name w:val="Table Text"/>
    <w:basedOn w:val="a"/>
    <w:rsid w:val="00082C2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82C29"/>
  </w:style>
  <w:style w:type="paragraph" w:customStyle="1" w:styleId="TableBlock">
    <w:name w:val="Table Block"/>
    <w:basedOn w:val="TableText"/>
    <w:rsid w:val="00082C29"/>
    <w:pPr>
      <w:ind w:right="0"/>
      <w:jc w:val="both"/>
    </w:pPr>
  </w:style>
  <w:style w:type="paragraph" w:customStyle="1" w:styleId="TableHead">
    <w:name w:val="Table Head"/>
    <w:basedOn w:val="TableText"/>
    <w:rsid w:val="00082C2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82C29"/>
  </w:style>
  <w:style w:type="paragraph" w:customStyle="1" w:styleId="Hesber">
    <w:name w:val="Hesber"/>
    <w:basedOn w:val="a"/>
    <w:rsid w:val="00082C2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082C2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082C29"/>
    <w:rPr>
      <w:vertAlign w:val="superscript"/>
    </w:rPr>
  </w:style>
  <w:style w:type="paragraph" w:customStyle="1" w:styleId="HesberHeading">
    <w:name w:val="Hesber Heading"/>
    <w:basedOn w:val="Hesber"/>
    <w:rsid w:val="00082C29"/>
    <w:pPr>
      <w:tabs>
        <w:tab w:val="left" w:pos="624"/>
        <w:tab w:val="left" w:pos="1247"/>
      </w:tabs>
      <w:ind w:firstLine="0"/>
    </w:pPr>
    <w:rPr>
      <w:b/>
      <w:bCs/>
    </w:rPr>
  </w:style>
  <w:style w:type="paragraph" w:customStyle="1" w:styleId="HesberWriters">
    <w:name w:val="Hesber Writers"/>
    <w:basedOn w:val="Hesber"/>
    <w:rsid w:val="00082C29"/>
    <w:pPr>
      <w:spacing w:before="120" w:after="6000"/>
      <w:ind w:left="1418" w:firstLine="0"/>
      <w:jc w:val="right"/>
    </w:pPr>
    <w:rPr>
      <w:b/>
      <w:bCs/>
    </w:rPr>
  </w:style>
  <w:style w:type="paragraph" w:customStyle="1" w:styleId="Hesber1st">
    <w:name w:val="Hesber 1st"/>
    <w:basedOn w:val="Hesber"/>
    <w:rsid w:val="00082C29"/>
    <w:pPr>
      <w:tabs>
        <w:tab w:val="left" w:pos="680"/>
        <w:tab w:val="left" w:pos="1020"/>
      </w:tabs>
      <w:ind w:firstLine="0"/>
    </w:pPr>
  </w:style>
  <w:style w:type="character" w:styleId="a7">
    <w:name w:val="endnote reference"/>
    <w:basedOn w:val="a0"/>
    <w:semiHidden/>
    <w:rsid w:val="00082C29"/>
    <w:rPr>
      <w:vertAlign w:val="superscript"/>
    </w:rPr>
  </w:style>
  <w:style w:type="paragraph" w:customStyle="1" w:styleId="TableBlockOutdent">
    <w:name w:val="Table BlockOutdent"/>
    <w:basedOn w:val="TableBlock"/>
    <w:rsid w:val="00082C29"/>
    <w:pPr>
      <w:ind w:left="624" w:hanging="624"/>
    </w:pPr>
  </w:style>
  <w:style w:type="paragraph" w:styleId="a8">
    <w:name w:val="header"/>
    <w:basedOn w:val="a"/>
    <w:rsid w:val="00082C29"/>
    <w:pPr>
      <w:tabs>
        <w:tab w:val="center" w:pos="4153"/>
        <w:tab w:val="right" w:pos="8306"/>
      </w:tabs>
    </w:pPr>
  </w:style>
  <w:style w:type="paragraph" w:styleId="a9">
    <w:name w:val="footer"/>
    <w:basedOn w:val="a"/>
    <w:rsid w:val="00082C29"/>
    <w:pPr>
      <w:tabs>
        <w:tab w:val="center" w:pos="4153"/>
        <w:tab w:val="right" w:pos="8306"/>
      </w:tabs>
    </w:pPr>
  </w:style>
  <w:style w:type="paragraph" w:customStyle="1" w:styleId="HeadDivreiHesber">
    <w:name w:val="Head DivreiHesber"/>
    <w:basedOn w:val="a"/>
    <w:rsid w:val="00082C2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82C29"/>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082C2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AD15F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C05B8E23-8180-4C4A-988E-F3AF9DA0A8DA}"/>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8206FEE-0566-4EED-97A5-38C148C2D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966</Words>
  <Characters>4834</Characters>
  <Application>Microsoft Office Word</Application>
  <DocSecurity>4</DocSecurity>
  <Lines>40</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2015-05-12T09:49:00Z</cp:lastPrinted>
  <dcterms:created xsi:type="dcterms:W3CDTF">2018-01-23T11:40:00Z</dcterms:created>
  <dcterms:modified xsi:type="dcterms:W3CDTF">2018-01-23T11:40:00Z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2065418</vt:r8>
  </property>
</Properties>
</file>