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B5F14" w14:textId="77777777" w:rsidR="00F47C50" w:rsidRPr="0000131B" w:rsidRDefault="00F47C50" w:rsidP="00F47C50">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564299</w:t>
      </w:r>
      <w:bookmarkEnd w:id="0"/>
    </w:p>
    <w:p w14:paraId="4BFB6386" w14:textId="77777777" w:rsidR="00F47C50" w:rsidRPr="00DB7060" w:rsidRDefault="00F47C50" w:rsidP="00F47C50">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0625DCAE" w14:textId="77777777" w:rsidR="00F47C50" w:rsidRPr="00F67051" w:rsidRDefault="00F47C50" w:rsidP="00F47C50">
      <w:pPr>
        <w:rPr>
          <w:rFonts w:cs="David"/>
          <w:b/>
          <w:bCs/>
          <w:sz w:val="26"/>
          <w:szCs w:val="26"/>
          <w:rtl/>
        </w:rPr>
      </w:pPr>
    </w:p>
    <w:p w14:paraId="758FC03F" w14:textId="77777777" w:rsidR="00F47C50" w:rsidRDefault="00F47C50" w:rsidP="00F47C50">
      <w:pPr>
        <w:pStyle w:val="David"/>
        <w:spacing w:line="360" w:lineRule="auto"/>
        <w:ind w:left="3544"/>
        <w:rPr>
          <w:b/>
          <w:bCs/>
          <w:rtl/>
        </w:rPr>
      </w:pPr>
      <w:bookmarkStart w:id="2" w:name="LGS_Initiators_List"/>
      <w:r>
        <w:rPr>
          <w:b/>
          <w:bCs/>
          <w:rtl/>
        </w:rPr>
        <w:t>יוזמים:      חברי הכנסת</w:t>
      </w:r>
      <w:bookmarkEnd w:id="2"/>
      <w:r w:rsidRPr="00F67051">
        <w:rPr>
          <w:b/>
          <w:bCs/>
        </w:rPr>
        <w:tab/>
      </w:r>
      <w:bookmarkStart w:id="3" w:name="LGS_PM_Names"/>
      <w:bookmarkStart w:id="4" w:name="_GoBack"/>
      <w:r>
        <w:rPr>
          <w:rFonts w:hint="cs"/>
          <w:b/>
          <w:bCs/>
          <w:rtl/>
        </w:rPr>
        <w:t>טלב אבו עראר</w:t>
      </w:r>
      <w:bookmarkEnd w:id="4"/>
      <w:r>
        <w:br/>
      </w:r>
      <w:r>
        <w:rPr>
          <w:rFonts w:hint="cs"/>
          <w:b/>
          <w:bCs/>
          <w:rtl/>
        </w:rPr>
        <w:t xml:space="preserve"> </w:t>
      </w:r>
      <w:r>
        <w:tab/>
      </w:r>
      <w:r>
        <w:tab/>
      </w:r>
      <w:r>
        <w:tab/>
      </w:r>
      <w:r>
        <w:tab/>
      </w:r>
      <w:r>
        <w:rPr>
          <w:rFonts w:hint="cs"/>
          <w:b/>
          <w:bCs/>
          <w:rtl/>
        </w:rPr>
        <w:t>עבדאללה אבו מערוף</w:t>
      </w:r>
      <w:r>
        <w:br/>
      </w:r>
      <w:r>
        <w:rPr>
          <w:rFonts w:hint="cs"/>
          <w:b/>
          <w:bCs/>
          <w:rtl/>
        </w:rPr>
        <w:t xml:space="preserve"> </w:t>
      </w:r>
      <w:r>
        <w:tab/>
      </w:r>
      <w:r>
        <w:tab/>
      </w:r>
      <w:r>
        <w:tab/>
      </w:r>
      <w:r>
        <w:tab/>
      </w:r>
      <w:r>
        <w:rPr>
          <w:rFonts w:hint="cs"/>
          <w:b/>
          <w:bCs/>
          <w:rtl/>
        </w:rPr>
        <w:t xml:space="preserve">באסל </w:t>
      </w:r>
      <w:proofErr w:type="spellStart"/>
      <w:r>
        <w:rPr>
          <w:rFonts w:hint="cs"/>
          <w:b/>
          <w:bCs/>
          <w:rtl/>
        </w:rPr>
        <w:t>גטאס</w:t>
      </w:r>
      <w:proofErr w:type="spellEnd"/>
      <w:r>
        <w:br/>
      </w:r>
      <w:r>
        <w:rPr>
          <w:rFonts w:hint="cs"/>
          <w:b/>
          <w:bCs/>
          <w:rtl/>
        </w:rPr>
        <w:t xml:space="preserve"> </w:t>
      </w:r>
      <w:r>
        <w:tab/>
      </w:r>
      <w:r>
        <w:tab/>
      </w:r>
      <w:r>
        <w:tab/>
      </w:r>
      <w:r>
        <w:tab/>
      </w:r>
      <w:r>
        <w:rPr>
          <w:rFonts w:hint="cs"/>
          <w:b/>
          <w:bCs/>
          <w:rtl/>
        </w:rPr>
        <w:t>חנין זועבי</w:t>
      </w:r>
      <w:r>
        <w:br/>
      </w:r>
      <w:r>
        <w:rPr>
          <w:rFonts w:hint="cs"/>
          <w:b/>
          <w:bCs/>
          <w:rtl/>
        </w:rPr>
        <w:t xml:space="preserve"> </w:t>
      </w:r>
      <w:r>
        <w:tab/>
      </w:r>
      <w:r>
        <w:tab/>
      </w:r>
      <w:r>
        <w:tab/>
      </w:r>
      <w:r>
        <w:tab/>
      </w:r>
      <w:r>
        <w:rPr>
          <w:rFonts w:hint="cs"/>
          <w:b/>
          <w:bCs/>
          <w:rtl/>
        </w:rPr>
        <w:t>עבד אל חכים חאג' יחיא</w:t>
      </w:r>
      <w:r>
        <w:br/>
      </w:r>
      <w:r>
        <w:rPr>
          <w:rFonts w:hint="cs"/>
          <w:b/>
          <w:bCs/>
          <w:rtl/>
        </w:rPr>
        <w:t xml:space="preserve"> </w:t>
      </w:r>
      <w:r>
        <w:tab/>
      </w:r>
      <w:r>
        <w:tab/>
      </w:r>
      <w:r>
        <w:tab/>
      </w:r>
      <w:r>
        <w:tab/>
      </w:r>
      <w:r>
        <w:rPr>
          <w:rFonts w:hint="cs"/>
          <w:b/>
          <w:bCs/>
          <w:rtl/>
        </w:rPr>
        <w:t>מסעוד גנאים</w:t>
      </w:r>
      <w:r>
        <w:br/>
      </w:r>
      <w:r>
        <w:rPr>
          <w:rFonts w:hint="cs"/>
          <w:b/>
          <w:bCs/>
          <w:rtl/>
        </w:rPr>
        <w:t xml:space="preserve"> </w:t>
      </w:r>
      <w:r>
        <w:tab/>
      </w:r>
      <w:r>
        <w:tab/>
      </w:r>
      <w:r>
        <w:tab/>
      </w:r>
      <w:r>
        <w:tab/>
      </w:r>
      <w:r>
        <w:rPr>
          <w:rFonts w:hint="cs"/>
          <w:b/>
          <w:bCs/>
          <w:rtl/>
        </w:rPr>
        <w:t>אוסאמה סעדי</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איימן עודה</w:t>
      </w:r>
      <w:r>
        <w:br/>
      </w:r>
      <w:r>
        <w:rPr>
          <w:rFonts w:hint="cs"/>
          <w:b/>
          <w:bCs/>
          <w:rtl/>
        </w:rPr>
        <w:t xml:space="preserve"> </w:t>
      </w:r>
      <w:r>
        <w:tab/>
      </w:r>
      <w:r>
        <w:tab/>
      </w:r>
      <w:r>
        <w:tab/>
      </w:r>
      <w:r>
        <w:tab/>
      </w:r>
      <w:r>
        <w:rPr>
          <w:rFonts w:hint="cs"/>
          <w:b/>
          <w:bCs/>
          <w:rtl/>
        </w:rPr>
        <w:t>עאידה תומא סלימאן</w:t>
      </w:r>
      <w:r>
        <w:br/>
      </w:r>
      <w:r>
        <w:rPr>
          <w:rFonts w:hint="cs"/>
          <w:b/>
          <w:bCs/>
          <w:rtl/>
        </w:rPr>
        <w:t xml:space="preserve"> </w:t>
      </w:r>
      <w:r>
        <w:tab/>
      </w:r>
      <w:r>
        <w:tab/>
      </w:r>
      <w:r>
        <w:tab/>
      </w:r>
      <w:r>
        <w:tab/>
      </w:r>
      <w:r>
        <w:rPr>
          <w:rFonts w:hint="cs"/>
          <w:b/>
          <w:bCs/>
          <w:rtl/>
        </w:rPr>
        <w:t xml:space="preserve">ג'מאל </w:t>
      </w:r>
      <w:proofErr w:type="spellStart"/>
      <w:r>
        <w:rPr>
          <w:rFonts w:hint="cs"/>
          <w:b/>
          <w:bCs/>
          <w:rtl/>
        </w:rPr>
        <w:t>זחאלקה</w:t>
      </w:r>
      <w:bookmarkEnd w:id="3"/>
      <w:proofErr w:type="spellEnd"/>
    </w:p>
    <w:p w14:paraId="26CF2434" w14:textId="77777777" w:rsidR="00F47C50" w:rsidRPr="00CF1AA2" w:rsidRDefault="00F47C50" w:rsidP="00F47C50">
      <w:pPr>
        <w:pStyle w:val="David"/>
        <w:spacing w:line="360" w:lineRule="auto"/>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73ACA758" w14:textId="77777777" w:rsidR="00F47C50" w:rsidRPr="00E06736" w:rsidRDefault="00F47C50" w:rsidP="00F47C50">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08A4A431" wp14:editId="2F3BAB0B">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A7E9B01" id="Freeform 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פ/1322/20</w:t>
      </w:r>
      <w:bookmarkEnd w:id="7"/>
      <w:r w:rsidRPr="00E06736">
        <w:rPr>
          <w:rFonts w:hint="cs"/>
          <w:rtl/>
        </w:rPr>
        <w:tab/>
      </w:r>
      <w:r w:rsidRPr="00E06736">
        <w:rPr>
          <w:rFonts w:hint="cs"/>
          <w:rtl/>
        </w:rPr>
        <w:tab/>
      </w:r>
      <w:r w:rsidRPr="00E06736">
        <w:rPr>
          <w:rFonts w:hint="cs"/>
          <w:rtl/>
        </w:rPr>
        <w:tab/>
      </w:r>
    </w:p>
    <w:p w14:paraId="419CCD9C" w14:textId="77777777" w:rsidR="00F47C50" w:rsidRDefault="00F47C50" w:rsidP="00F47C50">
      <w:pPr>
        <w:spacing w:before="0" w:line="360" w:lineRule="auto"/>
        <w:ind w:left="2880" w:firstLine="720"/>
        <w:rPr>
          <w:rFonts w:cs="David"/>
          <w:sz w:val="26"/>
          <w:szCs w:val="26"/>
          <w:rtl/>
        </w:rPr>
      </w:pPr>
    </w:p>
    <w:p w14:paraId="11D74037" w14:textId="3DDEBDFB" w:rsidR="00F47C50" w:rsidRDefault="00F47C50" w:rsidP="009F5162">
      <w:pPr>
        <w:pStyle w:val="HeadHatzaotHok"/>
        <w:rPr>
          <w:rtl/>
        </w:rPr>
      </w:pPr>
      <w:bookmarkStart w:id="8" w:name="LGS_Subject"/>
      <w:r>
        <w:rPr>
          <w:rFonts w:hint="cs"/>
          <w:rtl/>
        </w:rPr>
        <w:t xml:space="preserve">הצעת חוק סדר הדין הפלילי (תיקון – משך החקירה), </w:t>
      </w:r>
      <w:proofErr w:type="spellStart"/>
      <w:r>
        <w:rPr>
          <w:rFonts w:hint="cs"/>
          <w:rtl/>
        </w:rPr>
        <w:t>התשע"ה</w:t>
      </w:r>
      <w:proofErr w:type="spellEnd"/>
      <w:r>
        <w:rPr>
          <w:rFonts w:hint="cs"/>
          <w:rtl/>
        </w:rPr>
        <w:t>–2015</w:t>
      </w:r>
      <w:bookmarkEnd w:id="8"/>
    </w:p>
    <w:p w14:paraId="216D98F9" w14:textId="77777777" w:rsidR="00FE26DD" w:rsidRDefault="00FE26DD" w:rsidP="00FE26DD">
      <w:pPr>
        <w:pStyle w:val="HeadHatzaotHok"/>
        <w:spacing w:before="0"/>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872"/>
        <w:gridCol w:w="624"/>
        <w:gridCol w:w="4647"/>
      </w:tblGrid>
      <w:tr w:rsidR="00F47C50" w14:paraId="6E685395" w14:textId="77777777" w:rsidTr="00FC08D5">
        <w:trPr>
          <w:cantSplit/>
        </w:trPr>
        <w:tc>
          <w:tcPr>
            <w:tcW w:w="1873" w:type="dxa"/>
            <w:hideMark/>
          </w:tcPr>
          <w:p w14:paraId="09C72EC3" w14:textId="77777777" w:rsidR="00F47C50" w:rsidRDefault="00F47C50" w:rsidP="00FC08D5">
            <w:pPr>
              <w:pStyle w:val="TableSideHeading"/>
              <w:keepLines w:val="0"/>
            </w:pPr>
            <w:r>
              <w:rPr>
                <w:rFonts w:hint="cs"/>
                <w:rtl/>
              </w:rPr>
              <w:t>הוספת סעיף 62ב</w:t>
            </w:r>
          </w:p>
        </w:tc>
        <w:tc>
          <w:tcPr>
            <w:tcW w:w="624" w:type="dxa"/>
            <w:hideMark/>
          </w:tcPr>
          <w:p w14:paraId="3959ABD5" w14:textId="77777777" w:rsidR="00F47C50" w:rsidRDefault="00F47C50" w:rsidP="00FC08D5">
            <w:pPr>
              <w:pStyle w:val="TableText"/>
              <w:keepLines w:val="0"/>
            </w:pPr>
            <w:r>
              <w:rPr>
                <w:rFonts w:hint="cs"/>
                <w:rtl/>
              </w:rPr>
              <w:t>1.</w:t>
            </w:r>
          </w:p>
        </w:tc>
        <w:tc>
          <w:tcPr>
            <w:tcW w:w="7143" w:type="dxa"/>
            <w:gridSpan w:val="3"/>
            <w:hideMark/>
          </w:tcPr>
          <w:p w14:paraId="4021DEAC" w14:textId="77777777" w:rsidR="00F47C50" w:rsidRDefault="00F47C50" w:rsidP="00FC08D5">
            <w:pPr>
              <w:pStyle w:val="TableBlock"/>
            </w:pPr>
            <w:r>
              <w:rPr>
                <w:rFonts w:hint="cs"/>
                <w:rtl/>
              </w:rPr>
              <w:t xml:space="preserve">בחוק סדר הדין הפלילי [נוסח משולב] </w:t>
            </w:r>
            <w:proofErr w:type="spellStart"/>
            <w:r>
              <w:rPr>
                <w:rFonts w:hint="cs"/>
                <w:rtl/>
              </w:rPr>
              <w:t>התשמ"ב</w:t>
            </w:r>
            <w:proofErr w:type="spellEnd"/>
            <w:r>
              <w:rPr>
                <w:rFonts w:hint="eastAsia"/>
                <w:rtl/>
              </w:rPr>
              <w:t>–</w:t>
            </w:r>
            <w:r>
              <w:rPr>
                <w:rFonts w:hint="cs"/>
                <w:rtl/>
              </w:rPr>
              <w:t>1982</w:t>
            </w:r>
            <w:r w:rsidRPr="00D22901">
              <w:rPr>
                <w:rStyle w:val="a6"/>
              </w:rPr>
              <w:footnoteReference w:id="2"/>
            </w:r>
            <w:r>
              <w:rPr>
                <w:rFonts w:hint="cs"/>
                <w:rtl/>
              </w:rPr>
              <w:t xml:space="preserve"> , אחרי סעיף 62א יבוא:</w:t>
            </w:r>
          </w:p>
        </w:tc>
      </w:tr>
      <w:tr w:rsidR="00F47C50" w14:paraId="7A3E090E" w14:textId="77777777" w:rsidTr="00FC08D5">
        <w:trPr>
          <w:cantSplit/>
        </w:trPr>
        <w:tc>
          <w:tcPr>
            <w:tcW w:w="1873" w:type="dxa"/>
          </w:tcPr>
          <w:p w14:paraId="335B78EF" w14:textId="77777777" w:rsidR="00F47C50" w:rsidRDefault="00F47C50" w:rsidP="00FC08D5">
            <w:pPr>
              <w:pStyle w:val="TableSideHeading"/>
              <w:keepLines w:val="0"/>
            </w:pPr>
          </w:p>
        </w:tc>
        <w:tc>
          <w:tcPr>
            <w:tcW w:w="624" w:type="dxa"/>
          </w:tcPr>
          <w:p w14:paraId="573B41C3" w14:textId="77777777" w:rsidR="00F47C50" w:rsidRDefault="00F47C50" w:rsidP="00FC08D5">
            <w:pPr>
              <w:pStyle w:val="TableText"/>
              <w:keepLines w:val="0"/>
            </w:pPr>
          </w:p>
        </w:tc>
        <w:tc>
          <w:tcPr>
            <w:tcW w:w="1872" w:type="dxa"/>
            <w:hideMark/>
          </w:tcPr>
          <w:p w14:paraId="1756C6FC" w14:textId="77777777" w:rsidR="00F47C50" w:rsidRDefault="00F47C50" w:rsidP="00FC08D5">
            <w:pPr>
              <w:pStyle w:val="TableInnerSideHeading"/>
            </w:pPr>
            <w:r>
              <w:rPr>
                <w:rFonts w:hint="cs"/>
                <w:rtl/>
              </w:rPr>
              <w:t>"הגבלת משך חקירה</w:t>
            </w:r>
          </w:p>
        </w:tc>
        <w:tc>
          <w:tcPr>
            <w:tcW w:w="624" w:type="dxa"/>
            <w:hideMark/>
          </w:tcPr>
          <w:p w14:paraId="771C6FA9" w14:textId="77777777" w:rsidR="00F47C50" w:rsidRDefault="00F47C50" w:rsidP="00FC08D5">
            <w:pPr>
              <w:pStyle w:val="TableText"/>
            </w:pPr>
            <w:r w:rsidRPr="005203D0">
              <w:rPr>
                <w:rFonts w:hint="cs"/>
                <w:rtl/>
              </w:rPr>
              <w:t>62ב</w:t>
            </w:r>
            <w:r>
              <w:rPr>
                <w:rFonts w:hint="cs"/>
                <w:rtl/>
              </w:rPr>
              <w:t>.</w:t>
            </w:r>
          </w:p>
        </w:tc>
        <w:tc>
          <w:tcPr>
            <w:tcW w:w="4647" w:type="dxa"/>
            <w:hideMark/>
          </w:tcPr>
          <w:p w14:paraId="18F4967D" w14:textId="77777777" w:rsidR="00F47C50" w:rsidRDefault="00F47C50" w:rsidP="00FC08D5">
            <w:pPr>
              <w:pStyle w:val="TableBlock"/>
            </w:pPr>
            <w:r>
              <w:rPr>
                <w:rFonts w:hint="cs"/>
                <w:rtl/>
              </w:rPr>
              <w:t>(א)</w:t>
            </w:r>
            <w:r>
              <w:rPr>
                <w:rFonts w:hint="cs"/>
                <w:rtl/>
              </w:rPr>
              <w:tab/>
              <w:t>לא הוגש כתב אישום בתוך שנתיים מיום פתיחת חקירת משטרה</w:t>
            </w:r>
            <w:r w:rsidRPr="00AA5D55">
              <w:rPr>
                <w:rFonts w:hint="cs"/>
                <w:rtl/>
              </w:rPr>
              <w:t>,</w:t>
            </w:r>
            <w:r>
              <w:rPr>
                <w:rFonts w:hint="cs"/>
                <w:rtl/>
              </w:rPr>
              <w:t xml:space="preserve"> ייסגר תיק החקירה </w:t>
            </w:r>
            <w:r w:rsidRPr="00AA5D55">
              <w:rPr>
                <w:rFonts w:hint="cs"/>
                <w:rtl/>
              </w:rPr>
              <w:t>כאמור</w:t>
            </w:r>
            <w:r w:rsidRPr="005203D0">
              <w:rPr>
                <w:rFonts w:hint="cs"/>
                <w:rtl/>
              </w:rPr>
              <w:t xml:space="preserve"> בסעי</w:t>
            </w:r>
            <w:r>
              <w:rPr>
                <w:rFonts w:hint="cs"/>
                <w:rtl/>
              </w:rPr>
              <w:t>ף</w:t>
            </w:r>
            <w:r w:rsidRPr="00AA5D55">
              <w:rPr>
                <w:rFonts w:hint="cs"/>
                <w:rtl/>
              </w:rPr>
              <w:t xml:space="preserve"> 62</w:t>
            </w:r>
            <w:r w:rsidRPr="005203D0">
              <w:rPr>
                <w:rFonts w:hint="cs"/>
                <w:rtl/>
              </w:rPr>
              <w:t>.</w:t>
            </w:r>
            <w:r>
              <w:rPr>
                <w:rFonts w:hint="cs"/>
                <w:rtl/>
              </w:rPr>
              <w:t>"</w:t>
            </w:r>
            <w:r w:rsidRPr="005203D0">
              <w:rPr>
                <w:rFonts w:hint="cs"/>
                <w:rtl/>
              </w:rPr>
              <w:t xml:space="preserve"> </w:t>
            </w:r>
            <w:r w:rsidRPr="000C2317">
              <w:rPr>
                <w:rFonts w:hint="cs"/>
                <w:rtl/>
              </w:rPr>
              <w:t xml:space="preserve"> </w:t>
            </w:r>
          </w:p>
        </w:tc>
      </w:tr>
    </w:tbl>
    <w:p w14:paraId="38EE6183" w14:textId="77777777" w:rsidR="00F47C50" w:rsidRDefault="00F47C50" w:rsidP="00F47C50">
      <w:pPr>
        <w:pStyle w:val="HeadDivreiHesber"/>
        <w:spacing w:before="0" w:after="0" w:line="240" w:lineRule="auto"/>
        <w:rPr>
          <w:rtl/>
        </w:rPr>
      </w:pPr>
    </w:p>
    <w:p w14:paraId="2C1FA8FF" w14:textId="77777777" w:rsidR="00F47C50" w:rsidRDefault="00F47C50" w:rsidP="00F47C50">
      <w:pPr>
        <w:pStyle w:val="HeadDivreiHesber"/>
        <w:rPr>
          <w:rtl/>
        </w:rPr>
      </w:pPr>
      <w:r w:rsidRPr="0027450A">
        <w:rPr>
          <w:rFonts w:hint="cs"/>
          <w:rtl/>
        </w:rPr>
        <w:t>דברי הסבר</w:t>
      </w:r>
    </w:p>
    <w:p w14:paraId="55A30046" w14:textId="77777777" w:rsidR="00F47C50" w:rsidRPr="00347FB9" w:rsidRDefault="00F47C50" w:rsidP="00F47C50">
      <w:pPr>
        <w:pStyle w:val="Hesber"/>
        <w:rPr>
          <w:rtl/>
        </w:rPr>
      </w:pPr>
      <w:r w:rsidRPr="00347FB9">
        <w:rPr>
          <w:rFonts w:hint="cs"/>
          <w:rtl/>
        </w:rPr>
        <w:t>חלק ניכר ממשך תביעה משפטית קשור למשך החקירה. במהלך החקירה, אדם נתון לאיום מתמיד של הגשת כתב אישום, דבר שעלול לפגוע הן במצבו הכלכלי והן בבריאותו הנפשית. הפגיעה ממשך החקירה הארוך נגרמת לחשוד למרות שטרם הוכחה אשמתו. החזקת תיק חקירה פתוח עשויה להוות כלי איום וסחיטה כלפי חשוד. אי-סגירת התיק עלולה להפוך לכלי כוח במגרש פוליטי וחברתי.</w:t>
      </w:r>
    </w:p>
    <w:p w14:paraId="453C6238" w14:textId="77777777" w:rsidR="00FE26DD" w:rsidRDefault="00FE26DD" w:rsidP="00F47C50">
      <w:pPr>
        <w:pStyle w:val="Hesber"/>
        <w:rPr>
          <w:rtl/>
        </w:rPr>
      </w:pPr>
    </w:p>
    <w:p w14:paraId="6DE00B09" w14:textId="77777777" w:rsidR="00B1665D" w:rsidRDefault="00B1665D" w:rsidP="00F47C50">
      <w:pPr>
        <w:pStyle w:val="Hesber"/>
        <w:rPr>
          <w:rtl/>
        </w:rPr>
      </w:pPr>
    </w:p>
    <w:p w14:paraId="694E5BC3" w14:textId="664DB43B" w:rsidR="00F47C50" w:rsidRPr="00347FB9" w:rsidRDefault="00F47C50" w:rsidP="00F47C50">
      <w:pPr>
        <w:pStyle w:val="Hesber"/>
        <w:rPr>
          <w:rtl/>
        </w:rPr>
      </w:pPr>
      <w:r w:rsidRPr="00347FB9">
        <w:rPr>
          <w:rFonts w:hint="cs"/>
          <w:rtl/>
        </w:rPr>
        <w:t xml:space="preserve">הצעת החוק קובעת כי אם לא הוגש כתב אישום בתוך שנתיים מיום פתיחת החקירה, תיק החקירה ייסגר באחת מן העילות המופיעות בסעיף 62 לחוק סדר הדין הפלילי [נוסח משולב], </w:t>
      </w:r>
      <w:proofErr w:type="spellStart"/>
      <w:r w:rsidRPr="00347FB9">
        <w:rPr>
          <w:rFonts w:hint="cs"/>
          <w:rtl/>
        </w:rPr>
        <w:t>התשמ"ב</w:t>
      </w:r>
      <w:proofErr w:type="spellEnd"/>
      <w:r w:rsidRPr="00347FB9">
        <w:rPr>
          <w:rFonts w:hint="eastAsia"/>
          <w:rtl/>
        </w:rPr>
        <w:t>–</w:t>
      </w:r>
      <w:r w:rsidR="009F5162">
        <w:rPr>
          <w:rFonts w:hint="cs"/>
          <w:rtl/>
        </w:rPr>
        <w:t>1982</w:t>
      </w:r>
      <w:r w:rsidRPr="00347FB9">
        <w:rPr>
          <w:rFonts w:hint="cs"/>
          <w:rtl/>
        </w:rPr>
        <w:t xml:space="preserve">: לא נמצאו ראיות מספיקות, אין בחקירה או במשפט עניין לציבור או שנקבע שאין אשמה.  </w:t>
      </w:r>
    </w:p>
    <w:p w14:paraId="7E233BFA" w14:textId="77777777" w:rsidR="00F47C50" w:rsidRPr="00347FB9" w:rsidRDefault="00F47C50" w:rsidP="00F47C50">
      <w:pPr>
        <w:pStyle w:val="Hesber"/>
        <w:rPr>
          <w:rtl/>
        </w:rPr>
      </w:pPr>
      <w:r w:rsidRPr="00347FB9">
        <w:rPr>
          <w:rFonts w:hint="cs"/>
          <w:rtl/>
        </w:rPr>
        <w:t xml:space="preserve">הצעות חוק </w:t>
      </w:r>
      <w:r>
        <w:rPr>
          <w:rFonts w:hint="cs"/>
          <w:rtl/>
        </w:rPr>
        <w:t xml:space="preserve">בנושא דומה </w:t>
      </w:r>
      <w:r w:rsidRPr="00347FB9">
        <w:rPr>
          <w:rFonts w:hint="cs"/>
          <w:rtl/>
        </w:rPr>
        <w:t>הו</w:t>
      </w:r>
      <w:r>
        <w:rPr>
          <w:rFonts w:hint="cs"/>
          <w:rtl/>
        </w:rPr>
        <w:t xml:space="preserve">גשו </w:t>
      </w:r>
      <w:r w:rsidRPr="00347FB9">
        <w:rPr>
          <w:rFonts w:hint="cs"/>
          <w:rtl/>
        </w:rPr>
        <w:t>על שולחן הכנסת השבע-עשרה על ידי חבר הכנסת דוד רותם (פ/2265/17) ועל שולחן הכנסת השמונה-עשרה על ידי חבר הכנסת דוד רותם וקבוצת חברי הכנסת (פ/867/18).</w:t>
      </w:r>
    </w:p>
    <w:p w14:paraId="28C0D47E" w14:textId="77777777" w:rsidR="00F47C50" w:rsidRDefault="00F47C50" w:rsidP="00F47C50">
      <w:pPr>
        <w:pStyle w:val="Hesber"/>
        <w:rPr>
          <w:rtl/>
        </w:rPr>
      </w:pPr>
      <w:r w:rsidRPr="00347FB9">
        <w:rPr>
          <w:rFonts w:hint="cs"/>
          <w:rtl/>
        </w:rPr>
        <w:t xml:space="preserve">הצעת חוק זהה הונחה על שולחן הכנסת התשע-עשרה על ידי חבר הכנסת טלב אבו עראר וקבוצת חברי הכנסת (פ/2127/19).  </w:t>
      </w:r>
    </w:p>
    <w:p w14:paraId="0942AEB7" w14:textId="2E63888A" w:rsidR="009F5162" w:rsidRDefault="009F5162" w:rsidP="00F47C50">
      <w:pPr>
        <w:pStyle w:val="Hesber"/>
        <w:rPr>
          <w:rtl/>
        </w:rPr>
      </w:pPr>
    </w:p>
    <w:p w14:paraId="43C66D7F" w14:textId="77777777" w:rsidR="009F5162" w:rsidRDefault="009F5162" w:rsidP="00F47C50">
      <w:pPr>
        <w:pStyle w:val="Hesber"/>
        <w:rPr>
          <w:rtl/>
        </w:rPr>
      </w:pPr>
    </w:p>
    <w:p w14:paraId="01FE9097" w14:textId="77777777" w:rsidR="009F5162" w:rsidRDefault="009F5162" w:rsidP="00F47C50">
      <w:pPr>
        <w:pStyle w:val="Hesber"/>
        <w:rPr>
          <w:rtl/>
        </w:rPr>
      </w:pPr>
    </w:p>
    <w:p w14:paraId="289A4E07" w14:textId="77777777" w:rsidR="009F5162" w:rsidRPr="00557D2C" w:rsidRDefault="009F5162" w:rsidP="007D273A">
      <w:pPr>
        <w:pStyle w:val="Hesber"/>
        <w:rPr>
          <w:rtl/>
        </w:rPr>
      </w:pPr>
      <w:r w:rsidRPr="00557D2C">
        <w:rPr>
          <w:rtl/>
        </w:rPr>
        <w:t>---------------------------------</w:t>
      </w:r>
    </w:p>
    <w:p w14:paraId="42B02EF8" w14:textId="77777777" w:rsidR="009F5162" w:rsidRPr="00557D2C" w:rsidRDefault="009F5162" w:rsidP="007D273A">
      <w:pPr>
        <w:pStyle w:val="Hesber"/>
        <w:rPr>
          <w:rtl/>
        </w:rPr>
      </w:pPr>
      <w:r w:rsidRPr="00557D2C">
        <w:rPr>
          <w:rtl/>
        </w:rPr>
        <w:t>הוגשה ליו"ר הכנסת והסגנים</w:t>
      </w:r>
    </w:p>
    <w:p w14:paraId="7C06C46B" w14:textId="77777777" w:rsidR="009F5162" w:rsidRPr="00557D2C" w:rsidRDefault="009F5162" w:rsidP="007D273A">
      <w:pPr>
        <w:pStyle w:val="Hesber"/>
        <w:rPr>
          <w:rtl/>
        </w:rPr>
      </w:pPr>
      <w:r w:rsidRPr="00557D2C">
        <w:rPr>
          <w:rtl/>
        </w:rPr>
        <w:t>והונחה על שולחן הכנסת ביום</w:t>
      </w:r>
    </w:p>
    <w:p w14:paraId="2CCC5F4E" w14:textId="6134E55E" w:rsidR="009F5162" w:rsidRPr="00347FB9" w:rsidRDefault="009F5162" w:rsidP="009F5162">
      <w:pPr>
        <w:pStyle w:val="Hesber"/>
        <w:rPr>
          <w:rtl/>
        </w:rPr>
      </w:pPr>
      <w:r>
        <w:rPr>
          <w:rFonts w:hint="cs"/>
          <w:rtl/>
        </w:rPr>
        <w:t>כ"א</w:t>
      </w:r>
      <w:r w:rsidRPr="00557D2C">
        <w:rPr>
          <w:rFonts w:hint="cs"/>
          <w:rtl/>
        </w:rPr>
        <w:t xml:space="preserve"> ב</w:t>
      </w:r>
      <w:r>
        <w:rPr>
          <w:rFonts w:hint="cs"/>
          <w:rtl/>
        </w:rPr>
        <w:t>סיוון</w:t>
      </w:r>
      <w:r w:rsidRPr="00557D2C">
        <w:rPr>
          <w:rFonts w:hint="cs"/>
          <w:rtl/>
        </w:rPr>
        <w:t xml:space="preserve">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8.6.15</w:t>
      </w:r>
    </w:p>
    <w:p w14:paraId="7F6961CB" w14:textId="037BEE8E" w:rsidR="00E13C27" w:rsidRPr="00F47C50" w:rsidRDefault="00E13C27" w:rsidP="00F47C50">
      <w:pPr>
        <w:rPr>
          <w:rtl/>
        </w:rPr>
      </w:pPr>
    </w:p>
    <w:sectPr w:rsidR="00E13C27" w:rsidRPr="00F47C5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00F7C">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1F1D842A" w14:textId="77777777" w:rsidR="00F47C50" w:rsidRDefault="00F47C50" w:rsidP="00F47C50">
      <w:pPr>
        <w:pStyle w:val="a4"/>
        <w:rPr>
          <w:rtl/>
        </w:rPr>
      </w:pPr>
      <w:r>
        <w:rPr>
          <w:rStyle w:val="a6"/>
        </w:rPr>
        <w:footnoteRef/>
      </w:r>
      <w:r>
        <w:rPr>
          <w:rFonts w:hint="cs"/>
          <w:rtl/>
        </w:rPr>
        <w:t xml:space="preserve"> ס"ח </w:t>
      </w:r>
      <w:proofErr w:type="spellStart"/>
      <w:r>
        <w:rPr>
          <w:rFonts w:hint="cs"/>
          <w:rtl/>
        </w:rPr>
        <w:t>התשמ"ב</w:t>
      </w:r>
      <w:proofErr w:type="spellEnd"/>
      <w:r>
        <w:rPr>
          <w:rFonts w:hint="cs"/>
          <w:rtl/>
        </w:rPr>
        <w:t>, עמ' 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00F7C"/>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3743D"/>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9F5162"/>
    <w:rsid w:val="00A14672"/>
    <w:rsid w:val="00A26BD6"/>
    <w:rsid w:val="00A443CF"/>
    <w:rsid w:val="00A6611D"/>
    <w:rsid w:val="00A82CB7"/>
    <w:rsid w:val="00AA2F03"/>
    <w:rsid w:val="00AC36F7"/>
    <w:rsid w:val="00AC63A4"/>
    <w:rsid w:val="00AD239E"/>
    <w:rsid w:val="00B10265"/>
    <w:rsid w:val="00B1665D"/>
    <w:rsid w:val="00B21211"/>
    <w:rsid w:val="00B35784"/>
    <w:rsid w:val="00B733A7"/>
    <w:rsid w:val="00B975AD"/>
    <w:rsid w:val="00BC45FB"/>
    <w:rsid w:val="00BF148D"/>
    <w:rsid w:val="00C23B1A"/>
    <w:rsid w:val="00C310EB"/>
    <w:rsid w:val="00C9176A"/>
    <w:rsid w:val="00CE4CE0"/>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47C50"/>
    <w:rsid w:val="00F628D6"/>
    <w:rsid w:val="00F67051"/>
    <w:rsid w:val="00FA5E88"/>
    <w:rsid w:val="00FE26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087A7B5-2CE8-4FE4-B9D3-27A98341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CE4CE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4FF52E8B-A40F-4FC0-A720-8DC112677DD0}"/>
</file>

<file path=customXml/itemProps4.xml><?xml version="1.0" encoding="utf-8"?>
<ds:datastoreItem xmlns:ds="http://schemas.openxmlformats.org/officeDocument/2006/customXml" ds:itemID="{EF493442-D860-45DC-8087-8845F52D1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256</Words>
  <Characters>1281</Characters>
  <Application>Microsoft Office Word</Application>
  <DocSecurity>4</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2015-06-03T09:38:00Z</cp:lastPrinted>
  <dcterms:created xsi:type="dcterms:W3CDTF">2018-01-23T11:44:00Z</dcterms:created>
  <dcterms:modified xsi:type="dcterms:W3CDTF">2018-01-23T11:44:00Z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2065418</vt:r8>
  </property>
</Properties>
</file>