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255F2" w:rsidRPr="004C65A5" w:rsidRDefault="004255F2" w:rsidP="004255F2">
      <w:pPr>
        <w:spacing w:after="0" w:line="240" w:lineRule="auto"/>
        <w:ind w:left="567" w:right="992"/>
        <w:jc w:val="center"/>
        <w:rPr>
          <w:rFonts w:ascii="Times New Roman" w:eastAsia="Times New Roman" w:hAnsi="Times New Roman" w:cs="David"/>
          <w:b/>
          <w:bCs/>
          <w:sz w:val="20"/>
          <w:szCs w:val="48"/>
          <w:rtl/>
        </w:rPr>
      </w:pPr>
      <w:bookmarkStart w:id="0" w:name="_GoBack"/>
      <w:bookmarkEnd w:id="0"/>
      <w:r w:rsidRPr="004C65A5">
        <w:rPr>
          <w:rFonts w:ascii="Times New Roman" w:eastAsia="Times New Roman" w:hAnsi="Times New Roman" w:cs="David" w:hint="cs"/>
          <w:b/>
          <w:bCs/>
          <w:sz w:val="20"/>
          <w:szCs w:val="48"/>
          <w:rtl/>
        </w:rPr>
        <w:t>מדינת ישראל</w:t>
      </w:r>
    </w:p>
    <w:p w:rsidR="004255F2" w:rsidRPr="004C65A5" w:rsidRDefault="004255F2" w:rsidP="004255F2">
      <w:pPr>
        <w:spacing w:after="0" w:line="240" w:lineRule="auto"/>
        <w:ind w:left="567" w:right="992"/>
        <w:jc w:val="center"/>
        <w:rPr>
          <w:rFonts w:ascii="Times New (W1)" w:eastAsia="Times New Roman" w:hAnsi="Times New (W1)" w:cs="David"/>
          <w:b/>
          <w:bCs/>
          <w:sz w:val="20"/>
          <w:szCs w:val="40"/>
          <w:rtl/>
        </w:rPr>
      </w:pPr>
      <w:r w:rsidRPr="004C65A5">
        <w:rPr>
          <w:rFonts w:ascii="Times New (W1)" w:eastAsia="Times New Roman" w:hAnsi="Times New (W1)" w:cs="David"/>
          <w:b/>
          <w:bCs/>
          <w:sz w:val="20"/>
          <w:szCs w:val="40"/>
          <w:rtl/>
        </w:rPr>
        <w:t>משרד המשפטים</w:t>
      </w:r>
    </w:p>
    <w:p w:rsidR="004255F2" w:rsidRPr="004C65A5" w:rsidRDefault="004255F2" w:rsidP="004255F2">
      <w:pPr>
        <w:spacing w:after="0" w:line="360" w:lineRule="auto"/>
        <w:ind w:left="566" w:right="993"/>
        <w:jc w:val="right"/>
        <w:rPr>
          <w:rFonts w:ascii="Times New (W1)" w:eastAsia="Times New Roman" w:hAnsi="Times New (W1)" w:cs="David"/>
          <w:sz w:val="20"/>
          <w:szCs w:val="24"/>
          <w:rtl/>
        </w:rPr>
      </w:pPr>
    </w:p>
    <w:p w:rsidR="004255F2" w:rsidRDefault="004255F2" w:rsidP="004255F2">
      <w:pPr>
        <w:spacing w:after="0"/>
        <w:jc w:val="right"/>
        <w:rPr>
          <w:rFonts w:ascii="Times New Roman" w:eastAsia="Times New Roman" w:hAnsi="Times New Roman" w:cs="David"/>
          <w:sz w:val="20"/>
          <w:szCs w:val="24"/>
          <w:rtl/>
        </w:rPr>
      </w:pPr>
      <w:r w:rsidRPr="004C65A5">
        <w:rPr>
          <w:rFonts w:ascii="Times New (W1)" w:eastAsia="Times New Roman" w:hAnsi="Times New (W1)" w:cs="David" w:hint="cs"/>
          <w:sz w:val="20"/>
          <w:szCs w:val="24"/>
          <w:rtl/>
        </w:rPr>
        <w:tab/>
        <w:t xml:space="preserve">         </w:t>
      </w:r>
    </w:p>
    <w:p w:rsidR="004255F2" w:rsidRPr="00A308EC" w:rsidRDefault="004255F2" w:rsidP="004255F2">
      <w:pPr>
        <w:spacing w:after="0"/>
        <w:jc w:val="right"/>
        <w:rPr>
          <w:rFonts w:ascii="Times New Roman" w:eastAsia="Times New Roman" w:hAnsi="Times New Roman" w:cs="David"/>
          <w:sz w:val="20"/>
          <w:szCs w:val="24"/>
          <w:rtl/>
        </w:rPr>
      </w:pPr>
      <w:r w:rsidRPr="00A308EC">
        <w:rPr>
          <w:rFonts w:ascii="Times New Roman" w:eastAsia="Times New Roman" w:hAnsi="Times New Roman" w:cs="David"/>
          <w:sz w:val="20"/>
          <w:szCs w:val="24"/>
          <w:rtl/>
        </w:rPr>
        <w:t>מחלקת יעוץ וחקיקה (</w:t>
      </w:r>
      <w:r>
        <w:rPr>
          <w:rFonts w:ascii="Times New Roman" w:eastAsia="Times New Roman" w:hAnsi="Times New Roman" w:cs="David" w:hint="cs"/>
          <w:sz w:val="20"/>
          <w:szCs w:val="24"/>
          <w:rtl/>
        </w:rPr>
        <w:t xml:space="preserve">משפט </w:t>
      </w:r>
      <w:r w:rsidRPr="00A308EC">
        <w:rPr>
          <w:rFonts w:ascii="Times New Roman" w:eastAsia="Times New Roman" w:hAnsi="Times New Roman" w:cs="David"/>
          <w:sz w:val="20"/>
          <w:szCs w:val="24"/>
          <w:rtl/>
        </w:rPr>
        <w:t>אזרחי)</w:t>
      </w:r>
    </w:p>
    <w:p w:rsidR="004255F2" w:rsidRDefault="004255F2" w:rsidP="004255F2">
      <w:pPr>
        <w:spacing w:after="0"/>
        <w:jc w:val="right"/>
        <w:rPr>
          <w:rFonts w:ascii="Times New Roman" w:eastAsia="Times New Roman" w:hAnsi="Times New Roman" w:cs="David"/>
          <w:sz w:val="20"/>
          <w:szCs w:val="24"/>
          <w:rtl/>
        </w:rPr>
      </w:pPr>
      <w:r w:rsidRPr="00415070">
        <w:rPr>
          <w:rFonts w:ascii="Times New Roman" w:eastAsia="Times New Roman" w:hAnsi="Times New Roman" w:cs="David" w:hint="cs"/>
          <w:sz w:val="20"/>
          <w:szCs w:val="24"/>
          <w:rtl/>
        </w:rPr>
        <w:t xml:space="preserve">                                                                           </w:t>
      </w:r>
      <w:r w:rsidRPr="00415070">
        <w:rPr>
          <w:rFonts w:ascii="Times New Roman" w:eastAsia="Times New Roman" w:hAnsi="Times New Roman" w:cs="David" w:hint="cs"/>
          <w:sz w:val="20"/>
          <w:szCs w:val="24"/>
          <w:rtl/>
        </w:rPr>
        <w:tab/>
        <w:t xml:space="preserve">    </w:t>
      </w:r>
      <w:r>
        <w:rPr>
          <w:rFonts w:ascii="Times New Roman" w:eastAsia="Times New Roman" w:hAnsi="Times New Roman" w:cs="David" w:hint="eastAsia"/>
          <w:sz w:val="20"/>
          <w:szCs w:val="24"/>
          <w:rtl/>
        </w:rPr>
        <w:t>‏ל</w:t>
      </w:r>
      <w:r>
        <w:rPr>
          <w:rFonts w:ascii="Times New Roman" w:eastAsia="Times New Roman" w:hAnsi="Times New Roman" w:cs="David"/>
          <w:sz w:val="20"/>
          <w:szCs w:val="24"/>
          <w:rtl/>
        </w:rPr>
        <w:t>' שבט, תשע"ח</w:t>
      </w:r>
    </w:p>
    <w:p w:rsidR="004255F2" w:rsidRPr="001369F8" w:rsidRDefault="004255F2" w:rsidP="004255F2">
      <w:pPr>
        <w:spacing w:after="0"/>
        <w:jc w:val="right"/>
        <w:rPr>
          <w:rFonts w:ascii="Times New Roman" w:eastAsia="Times New Roman" w:hAnsi="Times New Roman" w:cs="David"/>
          <w:sz w:val="20"/>
          <w:szCs w:val="24"/>
          <w:rtl/>
        </w:rPr>
      </w:pPr>
      <w:r>
        <w:rPr>
          <w:rFonts w:ascii="Times New Roman" w:eastAsia="Times New Roman" w:hAnsi="Times New Roman" w:cs="David" w:hint="eastAsia"/>
          <w:sz w:val="20"/>
          <w:szCs w:val="24"/>
          <w:rtl/>
        </w:rPr>
        <w:t>‏</w:t>
      </w:r>
      <w:r>
        <w:rPr>
          <w:rFonts w:ascii="Times New Roman" w:eastAsia="Times New Roman" w:hAnsi="Times New Roman" w:cs="David"/>
          <w:sz w:val="20"/>
          <w:szCs w:val="24"/>
          <w:rtl/>
        </w:rPr>
        <w:t>15 פברואר, 2018</w:t>
      </w:r>
    </w:p>
    <w:p w:rsidR="004255F2" w:rsidRDefault="004255F2" w:rsidP="004255F2">
      <w:pPr>
        <w:spacing w:line="360" w:lineRule="auto"/>
        <w:jc w:val="both"/>
        <w:rPr>
          <w:rFonts w:cs="David"/>
          <w:sz w:val="24"/>
          <w:szCs w:val="24"/>
          <w:rtl/>
        </w:rPr>
      </w:pPr>
    </w:p>
    <w:p w:rsidR="00D223C6" w:rsidRPr="001865F9" w:rsidRDefault="00D223C6" w:rsidP="00D74DB8">
      <w:pPr>
        <w:spacing w:before="100" w:beforeAutospacing="1" w:after="100" w:afterAutospacing="1" w:line="360" w:lineRule="auto"/>
        <w:contextualSpacing/>
        <w:jc w:val="center"/>
        <w:rPr>
          <w:rFonts w:cs="David"/>
          <w:b/>
          <w:bCs/>
          <w:sz w:val="24"/>
          <w:szCs w:val="24"/>
          <w:u w:val="single"/>
          <w:rtl/>
        </w:rPr>
      </w:pPr>
      <w:r w:rsidRPr="001865F9">
        <w:rPr>
          <w:rFonts w:cs="David" w:hint="cs"/>
          <w:b/>
          <w:bCs/>
          <w:sz w:val="24"/>
          <w:szCs w:val="24"/>
          <w:u w:val="single"/>
          <w:rtl/>
        </w:rPr>
        <w:t xml:space="preserve">צווי הגבלת גישה לאתרי אינטרנט הכוללים תכנים מפרי זכויות יוצרים </w:t>
      </w:r>
      <w:r w:rsidRPr="001865F9">
        <w:rPr>
          <w:rFonts w:cs="David"/>
          <w:b/>
          <w:bCs/>
          <w:sz w:val="24"/>
          <w:szCs w:val="24"/>
          <w:u w:val="single"/>
          <w:rtl/>
        </w:rPr>
        <w:t>–</w:t>
      </w:r>
      <w:r w:rsidRPr="001865F9">
        <w:rPr>
          <w:rFonts w:cs="David" w:hint="cs"/>
          <w:b/>
          <w:bCs/>
          <w:sz w:val="24"/>
          <w:szCs w:val="24"/>
          <w:u w:val="single"/>
          <w:rtl/>
        </w:rPr>
        <w:t xml:space="preserve"> סקירת משפט משווה</w:t>
      </w:r>
    </w:p>
    <w:p w:rsidR="001865F9" w:rsidRDefault="001865F9" w:rsidP="00D74DB8">
      <w:pPr>
        <w:spacing w:before="100" w:beforeAutospacing="1" w:after="100" w:afterAutospacing="1" w:line="360" w:lineRule="auto"/>
        <w:contextualSpacing/>
        <w:jc w:val="both"/>
        <w:rPr>
          <w:rFonts w:cs="David"/>
          <w:sz w:val="24"/>
          <w:szCs w:val="24"/>
          <w:rtl/>
        </w:rPr>
      </w:pPr>
    </w:p>
    <w:p w:rsidR="00A455BC" w:rsidRPr="004D6E44" w:rsidRDefault="00D223C6" w:rsidP="00AD35BF">
      <w:pPr>
        <w:spacing w:before="100" w:beforeAutospacing="1" w:after="100" w:afterAutospacing="1" w:line="360" w:lineRule="auto"/>
        <w:contextualSpacing/>
        <w:jc w:val="both"/>
        <w:rPr>
          <w:rFonts w:cs="David"/>
          <w:sz w:val="24"/>
          <w:szCs w:val="24"/>
          <w:rtl/>
        </w:rPr>
      </w:pPr>
      <w:r w:rsidRPr="008D1244">
        <w:rPr>
          <w:rFonts w:cs="David" w:hint="cs"/>
          <w:sz w:val="24"/>
          <w:szCs w:val="24"/>
          <w:rtl/>
        </w:rPr>
        <w:t>צווי הגבלת גישה נועדו למנוע או להקשות על הגישה לאתרי אינטרנט אשר כוללים תכנים מפרי זכות יוצרים.</w:t>
      </w:r>
      <w:r w:rsidR="005E394C">
        <w:rPr>
          <w:rStyle w:val="ac"/>
          <w:rFonts w:cs="David"/>
          <w:sz w:val="24"/>
          <w:szCs w:val="24"/>
          <w:rtl/>
        </w:rPr>
        <w:footnoteReference w:id="1"/>
      </w:r>
      <w:r w:rsidRPr="008D1244">
        <w:rPr>
          <w:rFonts w:cs="David" w:hint="cs"/>
          <w:sz w:val="24"/>
          <w:szCs w:val="24"/>
          <w:rtl/>
        </w:rPr>
        <w:t xml:space="preserve"> צווים אלה מופנים כלפי גורמי ביניים שונים, ועשויים להינתן כסעד בסיומו של הליך נגד מפר עיקרי או כסעד העומד בפני עצמו</w:t>
      </w:r>
      <w:r w:rsidR="0084673A">
        <w:rPr>
          <w:rFonts w:cs="David" w:hint="cs"/>
          <w:sz w:val="24"/>
          <w:szCs w:val="24"/>
          <w:rtl/>
        </w:rPr>
        <w:t>, בהליך מול גורם ביניים</w:t>
      </w:r>
      <w:r w:rsidRPr="008D1244">
        <w:rPr>
          <w:rFonts w:cs="David" w:hint="cs"/>
          <w:sz w:val="24"/>
          <w:szCs w:val="24"/>
          <w:rtl/>
        </w:rPr>
        <w:t>.</w:t>
      </w:r>
      <w:r w:rsidR="0001424C" w:rsidRPr="008D1244">
        <w:rPr>
          <w:rFonts w:cs="David" w:hint="cs"/>
          <w:sz w:val="24"/>
          <w:szCs w:val="24"/>
          <w:rtl/>
        </w:rPr>
        <w:t xml:space="preserve"> להלן נביא סקירה של דין משווה העוסק בצווי הגבלת הגישה כסעד עצמאי.</w:t>
      </w:r>
      <w:r w:rsidR="00A455BC">
        <w:rPr>
          <w:rFonts w:cs="David" w:hint="cs"/>
          <w:sz w:val="24"/>
          <w:szCs w:val="24"/>
          <w:rtl/>
        </w:rPr>
        <w:t xml:space="preserve"> יצוין כי ישנן מדינות אשר בהן צווי הגבלת גישה לאתרי אינטרנט הכוללים תכנים מפרי זכות יוצרים, ניתנים בצווים מנהליים, כגון איטליה, פורטוגל ודרום קוריאה, אולם בסקירה זו נתמקד בשיטות בהן ניתן צו שיפוטי, כמוצע בישראל במסגרת הצעת חוק זכות יוצרים (תיקון מס' 5), התשע"ח-20</w:t>
      </w:r>
      <w:r w:rsidR="00AD35BF">
        <w:rPr>
          <w:rFonts w:cs="David" w:hint="cs"/>
          <w:sz w:val="24"/>
          <w:szCs w:val="24"/>
          <w:rtl/>
        </w:rPr>
        <w:t>17.</w:t>
      </w:r>
    </w:p>
    <w:p w:rsidR="001865F9" w:rsidRPr="008D1244" w:rsidRDefault="001865F9" w:rsidP="00D74DB8">
      <w:pPr>
        <w:spacing w:before="100" w:beforeAutospacing="1" w:after="100" w:afterAutospacing="1" w:line="360" w:lineRule="auto"/>
        <w:contextualSpacing/>
        <w:jc w:val="both"/>
        <w:rPr>
          <w:rFonts w:cs="David"/>
          <w:sz w:val="24"/>
          <w:szCs w:val="24"/>
          <w:rtl/>
        </w:rPr>
      </w:pPr>
    </w:p>
    <w:p w:rsidR="00925195" w:rsidRDefault="0001424C" w:rsidP="00D74DB8">
      <w:pPr>
        <w:spacing w:before="100" w:beforeAutospacing="1" w:after="100" w:afterAutospacing="1" w:line="360" w:lineRule="auto"/>
        <w:contextualSpacing/>
        <w:jc w:val="both"/>
        <w:rPr>
          <w:rFonts w:cs="David"/>
          <w:sz w:val="24"/>
          <w:szCs w:val="24"/>
          <w:rtl/>
        </w:rPr>
      </w:pPr>
      <w:r w:rsidRPr="001865F9">
        <w:rPr>
          <w:rFonts w:cs="David" w:hint="cs"/>
          <w:b/>
          <w:bCs/>
          <w:sz w:val="24"/>
          <w:szCs w:val="24"/>
          <w:u w:val="single"/>
          <w:rtl/>
        </w:rPr>
        <w:t>הדירקטיבה האירופית</w:t>
      </w:r>
      <w:r w:rsidR="003A403E" w:rsidRPr="008D1244">
        <w:rPr>
          <w:rStyle w:val="ac"/>
          <w:rFonts w:cs="David"/>
          <w:sz w:val="24"/>
          <w:szCs w:val="24"/>
          <w:rtl/>
        </w:rPr>
        <w:footnoteReference w:id="2"/>
      </w:r>
      <w:r w:rsidRPr="008D1244">
        <w:rPr>
          <w:rFonts w:cs="David" w:hint="cs"/>
          <w:sz w:val="24"/>
          <w:szCs w:val="24"/>
          <w:rtl/>
        </w:rPr>
        <w:t xml:space="preserve"> </w:t>
      </w:r>
      <w:r w:rsidR="003A403E" w:rsidRPr="008D1244">
        <w:rPr>
          <w:rFonts w:cs="David" w:hint="cs"/>
          <w:sz w:val="24"/>
          <w:szCs w:val="24"/>
          <w:rtl/>
        </w:rPr>
        <w:t>(</w:t>
      </w:r>
      <w:r w:rsidR="003A403E" w:rsidRPr="008D1244">
        <w:rPr>
          <w:rFonts w:cs="David"/>
          <w:sz w:val="24"/>
          <w:szCs w:val="24"/>
        </w:rPr>
        <w:t>DIRECTIVE 2001/29/EC on the harmonisation of certain aspects of copyright and related rights in the information society</w:t>
      </w:r>
      <w:r w:rsidR="003A403E" w:rsidRPr="008D1244">
        <w:rPr>
          <w:rFonts w:cs="David" w:hint="cs"/>
          <w:sz w:val="24"/>
          <w:szCs w:val="24"/>
          <w:rtl/>
        </w:rPr>
        <w:t xml:space="preserve">) </w:t>
      </w:r>
      <w:r w:rsidRPr="008D1244">
        <w:rPr>
          <w:rFonts w:cs="David" w:hint="cs"/>
          <w:sz w:val="24"/>
          <w:szCs w:val="24"/>
          <w:rtl/>
        </w:rPr>
        <w:t>קובעת, בסעיף 8(3) לדירקטיבה, חובה על המדינות החברות לאפשר לבעל זכות יוצרים לקבל סעד באמצעות גורמי ביניים:</w:t>
      </w:r>
    </w:p>
    <w:p w:rsidR="00B81D37" w:rsidRPr="008D1244" w:rsidRDefault="001D3936" w:rsidP="0084673A">
      <w:pPr>
        <w:bidi w:val="0"/>
        <w:spacing w:after="0" w:line="240" w:lineRule="auto"/>
        <w:ind w:left="567" w:right="510"/>
        <w:contextualSpacing/>
        <w:jc w:val="both"/>
        <w:rPr>
          <w:rFonts w:cs="David"/>
          <w:sz w:val="24"/>
          <w:szCs w:val="24"/>
          <w:rtl/>
        </w:rPr>
      </w:pPr>
      <w:r w:rsidRPr="008D1244">
        <w:rPr>
          <w:rFonts w:cs="David"/>
          <w:sz w:val="24"/>
          <w:szCs w:val="24"/>
        </w:rPr>
        <w:t>"</w:t>
      </w:r>
      <w:r w:rsidR="00B81D37" w:rsidRPr="008D1244">
        <w:rPr>
          <w:rFonts w:cs="David"/>
          <w:sz w:val="24"/>
          <w:szCs w:val="24"/>
        </w:rPr>
        <w:t>Member States shall ensure that rightholders are in a position to apply for an injunction against intermediaries whose services are used by a third party to infringe a copyright or related right</w:t>
      </w:r>
      <w:r w:rsidRPr="008D1244">
        <w:rPr>
          <w:rFonts w:cs="David"/>
          <w:sz w:val="24"/>
          <w:szCs w:val="24"/>
        </w:rPr>
        <w:t>"</w:t>
      </w:r>
    </w:p>
    <w:p w:rsidR="001865F9" w:rsidRDefault="001865F9" w:rsidP="00D74DB8">
      <w:pPr>
        <w:spacing w:before="100" w:beforeAutospacing="1" w:after="100" w:afterAutospacing="1" w:line="360" w:lineRule="auto"/>
        <w:contextualSpacing/>
        <w:jc w:val="both"/>
        <w:rPr>
          <w:rFonts w:cs="David"/>
          <w:sz w:val="24"/>
          <w:szCs w:val="24"/>
          <w:rtl/>
        </w:rPr>
      </w:pPr>
    </w:p>
    <w:p w:rsidR="00DF08BE" w:rsidRDefault="00AC2D33" w:rsidP="00136676">
      <w:pPr>
        <w:spacing w:before="100" w:beforeAutospacing="1" w:after="100" w:afterAutospacing="1" w:line="360" w:lineRule="auto"/>
        <w:contextualSpacing/>
        <w:jc w:val="both"/>
        <w:rPr>
          <w:rFonts w:cs="David"/>
          <w:sz w:val="24"/>
          <w:szCs w:val="24"/>
          <w:rtl/>
        </w:rPr>
      </w:pPr>
      <w:r w:rsidRPr="008D1244">
        <w:rPr>
          <w:rFonts w:cs="David" w:hint="cs"/>
          <w:sz w:val="24"/>
          <w:szCs w:val="24"/>
          <w:rtl/>
        </w:rPr>
        <w:t xml:space="preserve">בית הדין האירופי לצדק </w:t>
      </w:r>
      <w:r w:rsidR="00D45CD7" w:rsidRPr="008D1244">
        <w:rPr>
          <w:rFonts w:cs="David" w:hint="cs"/>
          <w:sz w:val="24"/>
          <w:szCs w:val="24"/>
          <w:rtl/>
        </w:rPr>
        <w:t xml:space="preserve">קבע </w:t>
      </w:r>
      <w:r w:rsidR="00855FF5" w:rsidRPr="008D1244">
        <w:rPr>
          <w:rFonts w:cs="David" w:hint="cs"/>
          <w:sz w:val="24"/>
          <w:szCs w:val="24"/>
          <w:rtl/>
        </w:rPr>
        <w:t xml:space="preserve">מתן צווי </w:t>
      </w:r>
      <w:r w:rsidRPr="008D1244">
        <w:rPr>
          <w:rFonts w:cs="David" w:hint="cs"/>
          <w:sz w:val="24"/>
          <w:szCs w:val="24"/>
          <w:rtl/>
        </w:rPr>
        <w:t>הגבלת גישה לאתרי אינטרנט הכוללים תכנים מפרים</w:t>
      </w:r>
      <w:r w:rsidR="00327B95">
        <w:rPr>
          <w:rFonts w:cs="David" w:hint="cs"/>
          <w:sz w:val="24"/>
          <w:szCs w:val="24"/>
          <w:rtl/>
        </w:rPr>
        <w:t xml:space="preserve"> </w:t>
      </w:r>
      <w:r w:rsidR="00136676">
        <w:rPr>
          <w:rFonts w:cs="David" w:hint="cs"/>
          <w:sz w:val="24"/>
          <w:szCs w:val="24"/>
          <w:rtl/>
        </w:rPr>
        <w:t>אינו</w:t>
      </w:r>
      <w:r w:rsidR="00327B95">
        <w:rPr>
          <w:rFonts w:cs="David" w:hint="cs"/>
          <w:sz w:val="24"/>
          <w:szCs w:val="24"/>
          <w:rtl/>
        </w:rPr>
        <w:t xml:space="preserve"> </w:t>
      </w:r>
      <w:r w:rsidR="00136676">
        <w:rPr>
          <w:rFonts w:cs="David" w:hint="cs"/>
          <w:sz w:val="24"/>
          <w:szCs w:val="24"/>
          <w:rtl/>
        </w:rPr>
        <w:t>מ</w:t>
      </w:r>
      <w:r w:rsidR="00327B95">
        <w:rPr>
          <w:rFonts w:cs="David" w:hint="cs"/>
          <w:sz w:val="24"/>
          <w:szCs w:val="24"/>
          <w:rtl/>
        </w:rPr>
        <w:t>הווה פגיעה בזכויות חוקתיות</w:t>
      </w:r>
      <w:r w:rsidR="00855FF5" w:rsidRPr="008D1244">
        <w:rPr>
          <w:rFonts w:cs="David" w:hint="cs"/>
          <w:sz w:val="24"/>
          <w:szCs w:val="24"/>
          <w:rtl/>
        </w:rPr>
        <w:t xml:space="preserve">, </w:t>
      </w:r>
      <w:r w:rsidR="00327B95">
        <w:rPr>
          <w:rFonts w:cs="David" w:hint="cs"/>
          <w:sz w:val="24"/>
          <w:szCs w:val="24"/>
          <w:rtl/>
        </w:rPr>
        <w:t xml:space="preserve"> יחד עם זאת קבע בית הדין כי </w:t>
      </w:r>
      <w:r w:rsidR="00855FF5" w:rsidRPr="008D1244">
        <w:rPr>
          <w:rFonts w:cs="David" w:hint="cs"/>
          <w:sz w:val="24"/>
          <w:szCs w:val="24"/>
          <w:rtl/>
        </w:rPr>
        <w:t>יש להגביל את הגישה באופן שאינו פוגע במידה העולה על הנדרש ב</w:t>
      </w:r>
      <w:r w:rsidR="00327B95">
        <w:rPr>
          <w:rFonts w:cs="David" w:hint="cs"/>
          <w:sz w:val="24"/>
          <w:szCs w:val="24"/>
          <w:rtl/>
        </w:rPr>
        <w:t xml:space="preserve">אפשרותם של </w:t>
      </w:r>
      <w:r w:rsidR="00855FF5" w:rsidRPr="008D1244">
        <w:rPr>
          <w:rFonts w:cs="David" w:hint="cs"/>
          <w:sz w:val="24"/>
          <w:szCs w:val="24"/>
          <w:rtl/>
        </w:rPr>
        <w:t xml:space="preserve">משתמשי האינטרנט לגשת למידע המצוי ברשת האינטרנט באופן חוקי. נדרש כי צווים אלה ישפיעו על יכולת הגישה הלא-חוקית לתכנים המוגנים בזכויות יוצרים או לכל הפחות יקשו על הגישה לתכנים אלה </w:t>
      </w:r>
      <w:r w:rsidR="00775B16" w:rsidRPr="008D1244">
        <w:rPr>
          <w:rFonts w:cs="David" w:hint="cs"/>
          <w:sz w:val="24"/>
          <w:szCs w:val="24"/>
          <w:rtl/>
        </w:rPr>
        <w:t>וירפו</w:t>
      </w:r>
      <w:r w:rsidR="00855FF5" w:rsidRPr="008D1244">
        <w:rPr>
          <w:rFonts w:cs="David" w:hint="cs"/>
          <w:sz w:val="24"/>
          <w:szCs w:val="24"/>
          <w:rtl/>
        </w:rPr>
        <w:t xml:space="preserve"> את ידיהם של משתמשים מצריכת תכנים מפרים.</w:t>
      </w:r>
      <w:r w:rsidR="00BF0FB8" w:rsidRPr="008D1244">
        <w:rPr>
          <w:rStyle w:val="ac"/>
          <w:rFonts w:cs="David"/>
          <w:sz w:val="24"/>
          <w:szCs w:val="24"/>
          <w:rtl/>
        </w:rPr>
        <w:footnoteReference w:id="3"/>
      </w:r>
      <w:r w:rsidR="00722443" w:rsidRPr="008D1244">
        <w:rPr>
          <w:rFonts w:cs="David" w:hint="cs"/>
          <w:sz w:val="24"/>
          <w:szCs w:val="24"/>
          <w:rtl/>
        </w:rPr>
        <w:t xml:space="preserve"> עוד צוין כי </w:t>
      </w:r>
      <w:r w:rsidR="00DF08BE" w:rsidRPr="008D1244">
        <w:rPr>
          <w:rFonts w:cs="David" w:hint="cs"/>
          <w:sz w:val="24"/>
          <w:szCs w:val="24"/>
          <w:rtl/>
        </w:rPr>
        <w:t>צוו</w:t>
      </w:r>
      <w:r w:rsidR="00722443" w:rsidRPr="008D1244">
        <w:rPr>
          <w:rFonts w:cs="David" w:hint="cs"/>
          <w:sz w:val="24"/>
          <w:szCs w:val="24"/>
          <w:rtl/>
        </w:rPr>
        <w:t>י</w:t>
      </w:r>
      <w:r w:rsidR="00DF08BE" w:rsidRPr="008D1244">
        <w:rPr>
          <w:rFonts w:cs="David" w:hint="cs"/>
          <w:sz w:val="24"/>
          <w:szCs w:val="24"/>
          <w:rtl/>
        </w:rPr>
        <w:t xml:space="preserve"> הגבלת גישה אינה פוגעים בחופש העיסוק של </w:t>
      </w:r>
      <w:r w:rsidR="00DF08BE" w:rsidRPr="008D1244">
        <w:rPr>
          <w:rFonts w:cs="David" w:hint="cs"/>
          <w:sz w:val="24"/>
          <w:szCs w:val="24"/>
          <w:rtl/>
        </w:rPr>
        <w:lastRenderedPageBreak/>
        <w:t>גורמי הביניים</w:t>
      </w:r>
      <w:r w:rsidR="00327B95">
        <w:rPr>
          <w:rFonts w:cs="David" w:hint="cs"/>
          <w:sz w:val="24"/>
          <w:szCs w:val="24"/>
          <w:rtl/>
        </w:rPr>
        <w:t>,</w:t>
      </w:r>
      <w:r w:rsidR="00722443" w:rsidRPr="008D1244">
        <w:rPr>
          <w:rStyle w:val="ac"/>
          <w:rFonts w:cs="David"/>
          <w:sz w:val="24"/>
          <w:szCs w:val="24"/>
          <w:rtl/>
        </w:rPr>
        <w:footnoteReference w:id="4"/>
      </w:r>
      <w:r w:rsidR="004F279A" w:rsidRPr="008D1244">
        <w:rPr>
          <w:rFonts w:cs="David" w:hint="cs"/>
          <w:sz w:val="24"/>
          <w:szCs w:val="24"/>
          <w:rtl/>
        </w:rPr>
        <w:t xml:space="preserve"> </w:t>
      </w:r>
      <w:r w:rsidR="00136676">
        <w:rPr>
          <w:rFonts w:cs="David" w:hint="cs"/>
          <w:sz w:val="24"/>
          <w:szCs w:val="24"/>
          <w:rtl/>
        </w:rPr>
        <w:t>ו</w:t>
      </w:r>
      <w:r w:rsidR="00327B95">
        <w:rPr>
          <w:rFonts w:cs="David" w:hint="cs"/>
          <w:sz w:val="24"/>
          <w:szCs w:val="24"/>
          <w:rtl/>
        </w:rPr>
        <w:t xml:space="preserve">בהקשר זה </w:t>
      </w:r>
      <w:r w:rsidR="004F279A" w:rsidRPr="008D1244">
        <w:rPr>
          <w:rFonts w:cs="David" w:hint="cs"/>
          <w:sz w:val="24"/>
          <w:szCs w:val="24"/>
          <w:rtl/>
        </w:rPr>
        <w:t>נקבע כי ספקיות שירותי אינטרנט הן "גורמי ביניים" כאמור בסעיף 8(3) לדירקטיבה משום שהן מהוות חוליה בלתי נמנעת בהעברה של תכנים מפרים בין לקוחותיה, המשתמשים, לבין צד שלישי,</w:t>
      </w:r>
      <w:r w:rsidR="004F279A" w:rsidRPr="008D1244">
        <w:rPr>
          <w:rStyle w:val="ac"/>
          <w:rFonts w:cs="David"/>
          <w:sz w:val="24"/>
          <w:szCs w:val="24"/>
          <w:rtl/>
        </w:rPr>
        <w:footnoteReference w:id="5"/>
      </w:r>
      <w:r w:rsidR="004F279A" w:rsidRPr="008D1244">
        <w:rPr>
          <w:rFonts w:cs="David" w:hint="cs"/>
          <w:sz w:val="24"/>
          <w:szCs w:val="24"/>
          <w:rtl/>
        </w:rPr>
        <w:t xml:space="preserve"> ואין צורך בהתקיימותה של מערכת חוזית בין ספק שירותי האינטרנט לאתר המפר.</w:t>
      </w:r>
      <w:r w:rsidR="004F279A" w:rsidRPr="008D1244">
        <w:rPr>
          <w:rStyle w:val="ac"/>
          <w:rFonts w:cs="David"/>
          <w:sz w:val="24"/>
          <w:szCs w:val="24"/>
          <w:rtl/>
        </w:rPr>
        <w:footnoteReference w:id="6"/>
      </w:r>
    </w:p>
    <w:p w:rsidR="001865F9" w:rsidRPr="008D1244" w:rsidRDefault="001865F9" w:rsidP="00D74DB8">
      <w:pPr>
        <w:spacing w:before="100" w:beforeAutospacing="1" w:after="100" w:afterAutospacing="1" w:line="360" w:lineRule="auto"/>
        <w:contextualSpacing/>
        <w:jc w:val="both"/>
        <w:rPr>
          <w:rFonts w:cs="David"/>
          <w:sz w:val="24"/>
          <w:szCs w:val="24"/>
          <w:rtl/>
        </w:rPr>
      </w:pPr>
    </w:p>
    <w:p w:rsidR="00AC2D33" w:rsidRPr="008D1244" w:rsidRDefault="00E6081C" w:rsidP="00D74DB8">
      <w:pPr>
        <w:spacing w:before="100" w:beforeAutospacing="1" w:after="100" w:afterAutospacing="1" w:line="360" w:lineRule="auto"/>
        <w:contextualSpacing/>
        <w:jc w:val="both"/>
        <w:rPr>
          <w:rFonts w:cs="David"/>
          <w:sz w:val="24"/>
          <w:szCs w:val="24"/>
          <w:rtl/>
        </w:rPr>
      </w:pPr>
      <w:r w:rsidRPr="001865F9">
        <w:rPr>
          <w:rFonts w:cs="David" w:hint="cs"/>
          <w:b/>
          <w:bCs/>
          <w:sz w:val="24"/>
          <w:szCs w:val="24"/>
          <w:u w:val="single"/>
          <w:rtl/>
        </w:rPr>
        <w:t>באנגליה</w:t>
      </w:r>
      <w:r w:rsidRPr="008D1244">
        <w:rPr>
          <w:rFonts w:cs="David" w:hint="cs"/>
          <w:sz w:val="24"/>
          <w:szCs w:val="24"/>
          <w:rtl/>
        </w:rPr>
        <w:t xml:space="preserve">, יושם סעיף 8(3) לדירקטיבה באמצעות סעיף </w:t>
      </w:r>
      <w:r w:rsidRPr="008D1244">
        <w:rPr>
          <w:rFonts w:cs="David"/>
          <w:sz w:val="24"/>
          <w:szCs w:val="24"/>
        </w:rPr>
        <w:t>A</w:t>
      </w:r>
      <w:r w:rsidRPr="008D1244">
        <w:rPr>
          <w:rFonts w:cs="David" w:hint="cs"/>
          <w:sz w:val="24"/>
          <w:szCs w:val="24"/>
          <w:rtl/>
        </w:rPr>
        <w:t xml:space="preserve">97 ל- </w:t>
      </w:r>
      <w:r w:rsidRPr="008D1244">
        <w:rPr>
          <w:rFonts w:cs="David"/>
          <w:sz w:val="24"/>
          <w:szCs w:val="24"/>
        </w:rPr>
        <w:t>Copyright Act 1977</w:t>
      </w:r>
      <w:r w:rsidRPr="008D1244">
        <w:rPr>
          <w:rFonts w:cs="David" w:hint="cs"/>
          <w:sz w:val="24"/>
          <w:szCs w:val="24"/>
          <w:rtl/>
        </w:rPr>
        <w:t>, הקובע כך:</w:t>
      </w:r>
    </w:p>
    <w:p w:rsidR="007D6997" w:rsidRPr="008D1244" w:rsidRDefault="007D6997" w:rsidP="00D74DB8">
      <w:pPr>
        <w:bidi w:val="0"/>
        <w:spacing w:after="0" w:line="240" w:lineRule="auto"/>
        <w:ind w:left="567" w:right="510"/>
        <w:contextualSpacing/>
        <w:jc w:val="both"/>
        <w:rPr>
          <w:rFonts w:cs="David"/>
          <w:sz w:val="24"/>
          <w:szCs w:val="24"/>
          <w:rtl/>
        </w:rPr>
      </w:pPr>
      <w:r w:rsidRPr="008D1244">
        <w:rPr>
          <w:rFonts w:cs="David"/>
          <w:sz w:val="24"/>
          <w:szCs w:val="24"/>
          <w:rtl/>
        </w:rPr>
        <w:t>97</w:t>
      </w:r>
      <w:r w:rsidRPr="008D1244">
        <w:rPr>
          <w:rFonts w:cs="David"/>
          <w:sz w:val="24"/>
          <w:szCs w:val="24"/>
        </w:rPr>
        <w:t>A Injunctions against service providers</w:t>
      </w:r>
    </w:p>
    <w:p w:rsidR="007D6997" w:rsidRPr="008D1244" w:rsidRDefault="001D3936" w:rsidP="00D74DB8">
      <w:pPr>
        <w:bidi w:val="0"/>
        <w:spacing w:after="0" w:line="240" w:lineRule="auto"/>
        <w:ind w:left="567" w:right="510"/>
        <w:contextualSpacing/>
        <w:jc w:val="both"/>
        <w:rPr>
          <w:rFonts w:cs="David"/>
          <w:sz w:val="24"/>
          <w:szCs w:val="24"/>
        </w:rPr>
      </w:pPr>
      <w:r w:rsidRPr="008D1244">
        <w:rPr>
          <w:rFonts w:cs="David"/>
          <w:sz w:val="24"/>
          <w:szCs w:val="24"/>
        </w:rPr>
        <w:t xml:space="preserve">(1) </w:t>
      </w:r>
      <w:r w:rsidR="007D6997" w:rsidRPr="008D1244">
        <w:rPr>
          <w:rFonts w:cs="David"/>
          <w:sz w:val="24"/>
          <w:szCs w:val="24"/>
        </w:rPr>
        <w:t>The High Court (in Scotland, the Court of Session) shall have power to grant an injunction against a service provider, where that service provider has actual knowledge of another person using their service to infringe copyright</w:t>
      </w:r>
      <w:r w:rsidR="007D6997" w:rsidRPr="008D1244">
        <w:rPr>
          <w:rFonts w:cs="David"/>
          <w:sz w:val="24"/>
          <w:szCs w:val="24"/>
          <w:rtl/>
        </w:rPr>
        <w:t>.</w:t>
      </w:r>
    </w:p>
    <w:p w:rsidR="007D6997" w:rsidRPr="008D1244" w:rsidRDefault="001D3936" w:rsidP="00D74DB8">
      <w:pPr>
        <w:bidi w:val="0"/>
        <w:spacing w:after="0" w:line="240" w:lineRule="auto"/>
        <w:ind w:left="567" w:right="510"/>
        <w:contextualSpacing/>
        <w:jc w:val="both"/>
        <w:rPr>
          <w:rFonts w:cs="David"/>
          <w:sz w:val="24"/>
          <w:szCs w:val="24"/>
          <w:rtl/>
        </w:rPr>
      </w:pPr>
      <w:r w:rsidRPr="008D1244">
        <w:rPr>
          <w:rFonts w:cs="David"/>
          <w:sz w:val="24"/>
          <w:szCs w:val="24"/>
        </w:rPr>
        <w:t xml:space="preserve">(2) </w:t>
      </w:r>
      <w:r w:rsidR="007D6997" w:rsidRPr="008D1244">
        <w:rPr>
          <w:rFonts w:cs="David"/>
          <w:sz w:val="24"/>
          <w:szCs w:val="24"/>
        </w:rPr>
        <w:t>In determining whether a service provider has actual knowledge for the purpose of this section, a court shall take into account all matters which appear to it in the particular circumstances to be relevant and, amongst other things, shall have regard to</w:t>
      </w:r>
      <w:r w:rsidR="007D6997" w:rsidRPr="008D1244">
        <w:rPr>
          <w:rFonts w:cs="David"/>
          <w:sz w:val="24"/>
          <w:szCs w:val="24"/>
          <w:rtl/>
        </w:rPr>
        <w:t>—</w:t>
      </w:r>
    </w:p>
    <w:p w:rsidR="007D6997" w:rsidRPr="008D1244" w:rsidRDefault="001D3936" w:rsidP="00D74DB8">
      <w:pPr>
        <w:bidi w:val="0"/>
        <w:spacing w:after="0" w:line="240" w:lineRule="auto"/>
        <w:ind w:left="720" w:right="510"/>
        <w:contextualSpacing/>
        <w:jc w:val="both"/>
        <w:rPr>
          <w:rFonts w:cs="David"/>
          <w:sz w:val="24"/>
          <w:szCs w:val="24"/>
        </w:rPr>
      </w:pPr>
      <w:r w:rsidRPr="008D1244">
        <w:rPr>
          <w:rFonts w:cs="David"/>
          <w:sz w:val="24"/>
          <w:szCs w:val="24"/>
        </w:rPr>
        <w:t xml:space="preserve">(a) </w:t>
      </w:r>
      <w:r w:rsidR="007D6997" w:rsidRPr="008D1244">
        <w:rPr>
          <w:rFonts w:cs="David"/>
          <w:sz w:val="24"/>
          <w:szCs w:val="24"/>
        </w:rPr>
        <w:t>whether a service provider has received a notice through a means of contact made available in accordance with regulation 6(1)(c) of the Electronic Commerce (EC Directive) Regulations 2002 (SI 2002/2013); and</w:t>
      </w:r>
    </w:p>
    <w:p w:rsidR="007D6997" w:rsidRPr="008D1244" w:rsidRDefault="001D3936" w:rsidP="00D74DB8">
      <w:pPr>
        <w:bidi w:val="0"/>
        <w:spacing w:after="0" w:line="240" w:lineRule="auto"/>
        <w:ind w:left="567" w:right="510" w:firstLine="153"/>
        <w:contextualSpacing/>
        <w:jc w:val="both"/>
        <w:rPr>
          <w:rFonts w:cs="David"/>
          <w:sz w:val="24"/>
          <w:szCs w:val="24"/>
        </w:rPr>
      </w:pPr>
      <w:r w:rsidRPr="008D1244">
        <w:rPr>
          <w:rFonts w:cs="David"/>
          <w:sz w:val="24"/>
          <w:szCs w:val="24"/>
        </w:rPr>
        <w:t xml:space="preserve">(b) </w:t>
      </w:r>
      <w:r w:rsidR="007D6997" w:rsidRPr="008D1244">
        <w:rPr>
          <w:rFonts w:cs="David"/>
          <w:sz w:val="24"/>
          <w:szCs w:val="24"/>
        </w:rPr>
        <w:t>the extent to which any notice includes</w:t>
      </w:r>
      <w:r w:rsidR="007D6997" w:rsidRPr="008D1244">
        <w:rPr>
          <w:rFonts w:cs="David"/>
          <w:sz w:val="24"/>
          <w:szCs w:val="24"/>
          <w:rtl/>
        </w:rPr>
        <w:t>—</w:t>
      </w:r>
    </w:p>
    <w:p w:rsidR="007D6997" w:rsidRPr="008D1244" w:rsidRDefault="001D3936" w:rsidP="00D74DB8">
      <w:pPr>
        <w:bidi w:val="0"/>
        <w:spacing w:after="0" w:line="240" w:lineRule="auto"/>
        <w:ind w:left="1287" w:right="510" w:firstLine="153"/>
        <w:contextualSpacing/>
        <w:jc w:val="both"/>
        <w:rPr>
          <w:rFonts w:cs="David"/>
          <w:sz w:val="24"/>
          <w:szCs w:val="24"/>
        </w:rPr>
      </w:pPr>
      <w:r w:rsidRPr="008D1244">
        <w:rPr>
          <w:rFonts w:cs="David"/>
          <w:sz w:val="24"/>
          <w:szCs w:val="24"/>
        </w:rPr>
        <w:t xml:space="preserve">(i) </w:t>
      </w:r>
      <w:r w:rsidR="007D6997" w:rsidRPr="008D1244">
        <w:rPr>
          <w:rFonts w:cs="David"/>
          <w:sz w:val="24"/>
          <w:szCs w:val="24"/>
        </w:rPr>
        <w:t>the full name and address of the sender of the notice</w:t>
      </w:r>
      <w:r w:rsidR="007D6997" w:rsidRPr="008D1244">
        <w:rPr>
          <w:rFonts w:cs="David"/>
          <w:sz w:val="24"/>
          <w:szCs w:val="24"/>
          <w:rtl/>
        </w:rPr>
        <w:t>;</w:t>
      </w:r>
    </w:p>
    <w:p w:rsidR="007D6997" w:rsidRPr="008D1244" w:rsidRDefault="001D3936" w:rsidP="00D74DB8">
      <w:pPr>
        <w:bidi w:val="0"/>
        <w:spacing w:after="0" w:line="240" w:lineRule="auto"/>
        <w:ind w:left="1134" w:right="510" w:firstLine="153"/>
        <w:contextualSpacing/>
        <w:jc w:val="both"/>
        <w:rPr>
          <w:rFonts w:cs="David"/>
          <w:sz w:val="24"/>
          <w:szCs w:val="24"/>
        </w:rPr>
      </w:pPr>
      <w:r w:rsidRPr="008D1244">
        <w:rPr>
          <w:rFonts w:cs="David"/>
          <w:sz w:val="24"/>
          <w:szCs w:val="24"/>
        </w:rPr>
        <w:t xml:space="preserve">(ii) </w:t>
      </w:r>
      <w:r w:rsidR="007D6997" w:rsidRPr="008D1244">
        <w:rPr>
          <w:rFonts w:cs="David"/>
          <w:sz w:val="24"/>
          <w:szCs w:val="24"/>
        </w:rPr>
        <w:t>details of the infringement in question</w:t>
      </w:r>
      <w:r w:rsidR="007D6997" w:rsidRPr="008D1244">
        <w:rPr>
          <w:rFonts w:cs="David"/>
          <w:sz w:val="24"/>
          <w:szCs w:val="24"/>
          <w:rtl/>
        </w:rPr>
        <w:t>.</w:t>
      </w:r>
    </w:p>
    <w:p w:rsidR="00C44E99" w:rsidRPr="008D1244" w:rsidRDefault="001D3936" w:rsidP="00D74DB8">
      <w:pPr>
        <w:bidi w:val="0"/>
        <w:spacing w:after="0" w:line="240" w:lineRule="auto"/>
        <w:ind w:left="567" w:right="510"/>
        <w:contextualSpacing/>
        <w:jc w:val="both"/>
        <w:rPr>
          <w:rFonts w:cs="David"/>
          <w:sz w:val="24"/>
          <w:szCs w:val="24"/>
        </w:rPr>
      </w:pPr>
      <w:r w:rsidRPr="008D1244">
        <w:rPr>
          <w:rFonts w:cs="David"/>
          <w:sz w:val="24"/>
          <w:szCs w:val="24"/>
        </w:rPr>
        <w:t xml:space="preserve">(3) </w:t>
      </w:r>
      <w:r w:rsidR="007D6997" w:rsidRPr="008D1244">
        <w:rPr>
          <w:rFonts w:cs="David"/>
          <w:sz w:val="24"/>
          <w:szCs w:val="24"/>
        </w:rPr>
        <w:t>In this section “service provider” has the meaning given to it by regulation</w:t>
      </w:r>
      <w:r w:rsidR="00FB06EE" w:rsidRPr="008D1244">
        <w:rPr>
          <w:rFonts w:cs="David"/>
          <w:sz w:val="24"/>
          <w:szCs w:val="24"/>
        </w:rPr>
        <w:t xml:space="preserve"> 2 of the Electronic Commerce (</w:t>
      </w:r>
      <w:r w:rsidR="007D6997" w:rsidRPr="008D1244">
        <w:rPr>
          <w:rFonts w:cs="David"/>
          <w:sz w:val="24"/>
          <w:szCs w:val="24"/>
        </w:rPr>
        <w:t>EC Directive) Regulations 2002</w:t>
      </w:r>
      <w:r w:rsidRPr="008D1244">
        <w:rPr>
          <w:rFonts w:cs="David"/>
          <w:sz w:val="24"/>
          <w:szCs w:val="24"/>
        </w:rPr>
        <w:t>.</w:t>
      </w:r>
    </w:p>
    <w:p w:rsidR="00FB06EE" w:rsidRPr="008D1244" w:rsidRDefault="00FB06EE" w:rsidP="00D74DB8">
      <w:pPr>
        <w:spacing w:before="100" w:beforeAutospacing="1" w:after="100" w:afterAutospacing="1" w:line="360" w:lineRule="auto"/>
        <w:contextualSpacing/>
        <w:jc w:val="both"/>
        <w:rPr>
          <w:rFonts w:cs="David"/>
          <w:sz w:val="24"/>
          <w:szCs w:val="24"/>
          <w:rtl/>
        </w:rPr>
      </w:pPr>
    </w:p>
    <w:p w:rsidR="00FB06EE" w:rsidRDefault="00FB06EE" w:rsidP="00D92D22">
      <w:pPr>
        <w:spacing w:before="100" w:beforeAutospacing="1" w:after="100" w:afterAutospacing="1" w:line="360" w:lineRule="auto"/>
        <w:contextualSpacing/>
        <w:jc w:val="both"/>
        <w:rPr>
          <w:rFonts w:cs="David"/>
          <w:sz w:val="24"/>
          <w:szCs w:val="24"/>
          <w:rtl/>
        </w:rPr>
      </w:pPr>
      <w:r w:rsidRPr="008D1244">
        <w:rPr>
          <w:rFonts w:cs="David" w:hint="cs"/>
          <w:sz w:val="24"/>
          <w:szCs w:val="24"/>
          <w:rtl/>
        </w:rPr>
        <w:t xml:space="preserve">סעיף זה </w:t>
      </w:r>
      <w:r w:rsidR="00B12A36" w:rsidRPr="008D1244">
        <w:rPr>
          <w:rFonts w:cs="David" w:hint="cs"/>
          <w:sz w:val="24"/>
          <w:szCs w:val="24"/>
          <w:rtl/>
        </w:rPr>
        <w:t>נדון</w:t>
      </w:r>
      <w:r w:rsidRPr="008D1244">
        <w:rPr>
          <w:rFonts w:cs="David" w:hint="cs"/>
          <w:sz w:val="24"/>
          <w:szCs w:val="24"/>
          <w:rtl/>
        </w:rPr>
        <w:t xml:space="preserve"> בהרחבה במספר החלטות של </w:t>
      </w:r>
      <w:r w:rsidR="00E951F6">
        <w:rPr>
          <w:rFonts w:cs="David" w:hint="cs"/>
          <w:sz w:val="24"/>
          <w:szCs w:val="24"/>
          <w:rtl/>
        </w:rPr>
        <w:t>ה-</w:t>
      </w:r>
      <w:r w:rsidR="00E951F6">
        <w:rPr>
          <w:rFonts w:cs="David"/>
          <w:sz w:val="24"/>
          <w:szCs w:val="24"/>
        </w:rPr>
        <w:t>High Court o</w:t>
      </w:r>
      <w:r w:rsidR="00E951F6" w:rsidRPr="008D1244">
        <w:rPr>
          <w:rFonts w:cs="David"/>
          <w:sz w:val="24"/>
          <w:szCs w:val="24"/>
        </w:rPr>
        <w:t>f Justice</w:t>
      </w:r>
      <w:r w:rsidR="00901441">
        <w:rPr>
          <w:rFonts w:cs="David" w:hint="cs"/>
          <w:sz w:val="24"/>
          <w:szCs w:val="24"/>
          <w:rtl/>
        </w:rPr>
        <w:t>, ולהלן נתאר את המרכזיות שבהן: עניין פוקס</w:t>
      </w:r>
      <w:r w:rsidR="00415824">
        <w:rPr>
          <w:rFonts w:cs="David" w:hint="cs"/>
          <w:sz w:val="24"/>
          <w:szCs w:val="24"/>
          <w:rtl/>
        </w:rPr>
        <w:t xml:space="preserve"> (יולי 2011)</w:t>
      </w:r>
      <w:r w:rsidR="00901441">
        <w:rPr>
          <w:rFonts w:cs="David" w:hint="cs"/>
          <w:sz w:val="24"/>
          <w:szCs w:val="24"/>
          <w:rtl/>
        </w:rPr>
        <w:t>, עניין פוקס2</w:t>
      </w:r>
      <w:r w:rsidR="00415824">
        <w:rPr>
          <w:rFonts w:cs="David" w:hint="cs"/>
          <w:sz w:val="24"/>
          <w:szCs w:val="24"/>
          <w:rtl/>
        </w:rPr>
        <w:t xml:space="preserve"> (אוקטובר 2011)</w:t>
      </w:r>
      <w:r w:rsidR="00901441">
        <w:rPr>
          <w:rFonts w:cs="David" w:hint="cs"/>
          <w:sz w:val="24"/>
          <w:szCs w:val="24"/>
          <w:rtl/>
        </w:rPr>
        <w:t>, ועניין הפרמייר ליג</w:t>
      </w:r>
      <w:r w:rsidR="00796A06">
        <w:rPr>
          <w:rFonts w:cs="David" w:hint="cs"/>
          <w:sz w:val="24"/>
          <w:szCs w:val="24"/>
          <w:rtl/>
        </w:rPr>
        <w:t xml:space="preserve"> (</w:t>
      </w:r>
      <w:r w:rsidR="00D92D22">
        <w:rPr>
          <w:rFonts w:cs="David" w:hint="cs"/>
          <w:sz w:val="24"/>
          <w:szCs w:val="24"/>
          <w:rtl/>
        </w:rPr>
        <w:t>2017</w:t>
      </w:r>
      <w:r w:rsidR="00796A06">
        <w:rPr>
          <w:rFonts w:cs="David" w:hint="cs"/>
          <w:sz w:val="24"/>
          <w:szCs w:val="24"/>
          <w:rtl/>
        </w:rPr>
        <w:t>)</w:t>
      </w:r>
      <w:r w:rsidR="00901441">
        <w:rPr>
          <w:rFonts w:cs="David" w:hint="cs"/>
          <w:sz w:val="24"/>
          <w:szCs w:val="24"/>
          <w:rtl/>
        </w:rPr>
        <w:t>.</w:t>
      </w:r>
    </w:p>
    <w:p w:rsidR="00901441" w:rsidRDefault="00901441" w:rsidP="00D74DB8">
      <w:pPr>
        <w:spacing w:before="100" w:beforeAutospacing="1" w:after="100" w:afterAutospacing="1" w:line="360" w:lineRule="auto"/>
        <w:contextualSpacing/>
        <w:jc w:val="both"/>
        <w:rPr>
          <w:rFonts w:cs="David"/>
          <w:sz w:val="24"/>
          <w:szCs w:val="24"/>
          <w:rtl/>
        </w:rPr>
      </w:pPr>
    </w:p>
    <w:p w:rsidR="00A1394E" w:rsidRDefault="00790E73" w:rsidP="003F1C87">
      <w:pPr>
        <w:spacing w:before="100" w:beforeAutospacing="1" w:after="100" w:afterAutospacing="1" w:line="360" w:lineRule="auto"/>
        <w:contextualSpacing/>
        <w:jc w:val="both"/>
        <w:rPr>
          <w:rStyle w:val="apple-converted-space"/>
          <w:rFonts w:cs="David"/>
          <w:color w:val="000000"/>
          <w:sz w:val="24"/>
          <w:szCs w:val="24"/>
          <w:rtl/>
        </w:rPr>
      </w:pPr>
      <w:r>
        <w:rPr>
          <w:rFonts w:cs="David" w:hint="cs"/>
          <w:sz w:val="24"/>
          <w:szCs w:val="24"/>
          <w:rtl/>
        </w:rPr>
        <w:t>בפסק הדין הראשון בעניין</w:t>
      </w:r>
      <w:r w:rsidR="00901441">
        <w:rPr>
          <w:rFonts w:cs="David" w:hint="cs"/>
          <w:sz w:val="24"/>
          <w:szCs w:val="24"/>
          <w:rtl/>
        </w:rPr>
        <w:t xml:space="preserve"> </w:t>
      </w:r>
      <w:r w:rsidR="00901441" w:rsidRPr="00901441">
        <w:rPr>
          <w:rFonts w:cs="David" w:hint="cs"/>
          <w:b/>
          <w:bCs/>
          <w:sz w:val="24"/>
          <w:szCs w:val="24"/>
          <w:rtl/>
        </w:rPr>
        <w:t>פוקס</w:t>
      </w:r>
      <w:r w:rsidR="00901441">
        <w:rPr>
          <w:rStyle w:val="ac"/>
          <w:rFonts w:cs="David"/>
          <w:sz w:val="24"/>
          <w:szCs w:val="24"/>
          <w:rtl/>
        </w:rPr>
        <w:footnoteReference w:id="7"/>
      </w:r>
      <w:r w:rsidR="00901441">
        <w:rPr>
          <w:rFonts w:cs="David" w:hint="cs"/>
          <w:sz w:val="24"/>
          <w:szCs w:val="24"/>
          <w:rtl/>
        </w:rPr>
        <w:t xml:space="preserve"> </w:t>
      </w:r>
      <w:r w:rsidR="00A1394E">
        <w:rPr>
          <w:rStyle w:val="apple-converted-space"/>
          <w:rFonts w:cs="David" w:hint="cs"/>
          <w:color w:val="000000"/>
          <w:sz w:val="24"/>
          <w:szCs w:val="24"/>
          <w:rtl/>
        </w:rPr>
        <w:t>נפסק כי ספקי</w:t>
      </w:r>
      <w:r w:rsidR="00327B95">
        <w:rPr>
          <w:rStyle w:val="apple-converted-space"/>
          <w:rFonts w:cs="David" w:hint="cs"/>
          <w:color w:val="000000"/>
          <w:sz w:val="24"/>
          <w:szCs w:val="24"/>
          <w:rtl/>
        </w:rPr>
        <w:t>ות</w:t>
      </w:r>
      <w:r w:rsidR="0033573A">
        <w:rPr>
          <w:rStyle w:val="apple-converted-space"/>
          <w:rFonts w:cs="David" w:hint="cs"/>
          <w:color w:val="000000"/>
          <w:sz w:val="24"/>
          <w:szCs w:val="24"/>
          <w:rtl/>
        </w:rPr>
        <w:t xml:space="preserve"> </w:t>
      </w:r>
      <w:r w:rsidR="00A1394E">
        <w:rPr>
          <w:rStyle w:val="apple-converted-space"/>
          <w:rFonts w:cs="David" w:hint="cs"/>
          <w:color w:val="000000"/>
          <w:sz w:val="24"/>
          <w:szCs w:val="24"/>
          <w:rtl/>
        </w:rPr>
        <w:t xml:space="preserve">שירותי </w:t>
      </w:r>
      <w:r w:rsidR="0033573A">
        <w:rPr>
          <w:rStyle w:val="apple-converted-space"/>
          <w:rFonts w:cs="David" w:hint="cs"/>
          <w:color w:val="000000"/>
          <w:sz w:val="24"/>
          <w:szCs w:val="24"/>
          <w:rtl/>
        </w:rPr>
        <w:t>האינטרנט ה</w:t>
      </w:r>
      <w:r w:rsidR="00327B95">
        <w:rPr>
          <w:rStyle w:val="apple-converted-space"/>
          <w:rFonts w:cs="David" w:hint="cs"/>
          <w:color w:val="000000"/>
          <w:sz w:val="24"/>
          <w:szCs w:val="24"/>
          <w:rtl/>
        </w:rPr>
        <w:t>ן</w:t>
      </w:r>
      <w:r w:rsidR="0033573A">
        <w:rPr>
          <w:rStyle w:val="apple-converted-space"/>
          <w:rFonts w:cs="David" w:hint="cs"/>
          <w:color w:val="000000"/>
          <w:sz w:val="24"/>
          <w:szCs w:val="24"/>
          <w:rtl/>
        </w:rPr>
        <w:t xml:space="preserve"> "גורמי ביניים" לפי סעיף 8(3) לדירקטיבה</w:t>
      </w:r>
      <w:r w:rsidR="00A1394E">
        <w:rPr>
          <w:rStyle w:val="apple-converted-space"/>
          <w:rFonts w:cs="David" w:hint="cs"/>
          <w:color w:val="000000"/>
          <w:sz w:val="24"/>
          <w:szCs w:val="24"/>
          <w:rtl/>
        </w:rPr>
        <w:t>,</w:t>
      </w:r>
      <w:r w:rsidR="0033573A">
        <w:rPr>
          <w:rStyle w:val="ac"/>
          <w:rFonts w:cs="David"/>
          <w:color w:val="000000"/>
          <w:sz w:val="24"/>
          <w:szCs w:val="24"/>
          <w:rtl/>
        </w:rPr>
        <w:footnoteReference w:id="8"/>
      </w:r>
      <w:r w:rsidR="0033573A">
        <w:rPr>
          <w:rStyle w:val="apple-converted-space"/>
          <w:rFonts w:cs="David" w:hint="cs"/>
          <w:color w:val="000000"/>
          <w:sz w:val="24"/>
          <w:szCs w:val="24"/>
          <w:rtl/>
        </w:rPr>
        <w:t xml:space="preserve"> </w:t>
      </w:r>
      <w:r w:rsidR="00A1394E">
        <w:rPr>
          <w:rStyle w:val="apple-converted-space"/>
          <w:rFonts w:cs="David" w:hint="cs"/>
          <w:color w:val="000000"/>
          <w:sz w:val="24"/>
          <w:szCs w:val="24"/>
          <w:rtl/>
        </w:rPr>
        <w:t>והגם שספק</w:t>
      </w:r>
      <w:r w:rsidR="00327B95">
        <w:rPr>
          <w:rStyle w:val="apple-converted-space"/>
          <w:rFonts w:cs="David" w:hint="cs"/>
          <w:color w:val="000000"/>
          <w:sz w:val="24"/>
          <w:szCs w:val="24"/>
          <w:rtl/>
        </w:rPr>
        <w:t>ית</w:t>
      </w:r>
      <w:r w:rsidR="00A1394E">
        <w:rPr>
          <w:rStyle w:val="apple-converted-space"/>
          <w:rFonts w:cs="David" w:hint="cs"/>
          <w:color w:val="000000"/>
          <w:sz w:val="24"/>
          <w:szCs w:val="24"/>
          <w:rtl/>
        </w:rPr>
        <w:t xml:space="preserve"> גישה פטור</w:t>
      </w:r>
      <w:r w:rsidR="00327B95">
        <w:rPr>
          <w:rStyle w:val="apple-converted-space"/>
          <w:rFonts w:cs="David" w:hint="cs"/>
          <w:color w:val="000000"/>
          <w:sz w:val="24"/>
          <w:szCs w:val="24"/>
          <w:rtl/>
        </w:rPr>
        <w:t>ה</w:t>
      </w:r>
      <w:r w:rsidR="00A1394E">
        <w:rPr>
          <w:rStyle w:val="apple-converted-space"/>
          <w:rFonts w:cs="David" w:hint="cs"/>
          <w:color w:val="000000"/>
          <w:sz w:val="24"/>
          <w:szCs w:val="24"/>
          <w:rtl/>
        </w:rPr>
        <w:t xml:space="preserve"> מאחריות להפרת זכות יוצרים, בפעולת</w:t>
      </w:r>
      <w:r w:rsidR="00327B95">
        <w:rPr>
          <w:rStyle w:val="apple-converted-space"/>
          <w:rFonts w:cs="David" w:hint="cs"/>
          <w:color w:val="000000"/>
          <w:sz w:val="24"/>
          <w:szCs w:val="24"/>
          <w:rtl/>
        </w:rPr>
        <w:t>ה</w:t>
      </w:r>
      <w:r w:rsidR="00A1394E">
        <w:rPr>
          <w:rStyle w:val="apple-converted-space"/>
          <w:rFonts w:cs="David" w:hint="cs"/>
          <w:color w:val="000000"/>
          <w:sz w:val="24"/>
          <w:szCs w:val="24"/>
          <w:rtl/>
        </w:rPr>
        <w:t xml:space="preserve"> כ-</w:t>
      </w:r>
      <w:r w:rsidR="00A1394E" w:rsidRPr="00A1394E">
        <w:rPr>
          <w:rFonts w:cs="David"/>
          <w:sz w:val="24"/>
          <w:szCs w:val="24"/>
          <w:bdr w:val="none" w:sz="0" w:space="0" w:color="auto" w:frame="1"/>
        </w:rPr>
        <w:t xml:space="preserve"> </w:t>
      </w:r>
      <w:r w:rsidR="00A1394E" w:rsidRPr="00BE56C3">
        <w:rPr>
          <w:rFonts w:cs="David"/>
          <w:sz w:val="24"/>
          <w:szCs w:val="24"/>
          <w:bdr w:val="none" w:sz="0" w:space="0" w:color="auto" w:frame="1"/>
        </w:rPr>
        <w:t>mere conduit</w:t>
      </w:r>
      <w:r w:rsidR="00A1394E" w:rsidRPr="0082070A">
        <w:rPr>
          <w:rFonts w:ascii="Helvetica" w:hAnsi="Helvetica" w:cs="David" w:hint="cs"/>
          <w:b/>
          <w:bCs/>
          <w:color w:val="FF0000"/>
          <w:sz w:val="24"/>
          <w:szCs w:val="24"/>
          <w:bdr w:val="none" w:sz="0" w:space="0" w:color="auto" w:frame="1"/>
          <w:rtl/>
        </w:rPr>
        <w:t xml:space="preserve"> </w:t>
      </w:r>
      <w:r w:rsidR="00A1394E" w:rsidRPr="0082070A">
        <w:rPr>
          <w:rFonts w:ascii="Helvetica" w:hAnsi="Helvetica" w:cs="David" w:hint="cs"/>
          <w:sz w:val="24"/>
          <w:szCs w:val="24"/>
          <w:bdr w:val="none" w:sz="0" w:space="0" w:color="auto" w:frame="1"/>
          <w:rtl/>
        </w:rPr>
        <w:t>(</w:t>
      </w:r>
      <w:r w:rsidR="00A1394E">
        <w:rPr>
          <w:rFonts w:ascii="Helvetica" w:hAnsi="Helvetica" w:cs="David" w:hint="cs"/>
          <w:sz w:val="24"/>
          <w:szCs w:val="24"/>
          <w:bdr w:val="none" w:sz="0" w:space="0" w:color="auto" w:frame="1"/>
          <w:rtl/>
        </w:rPr>
        <w:t>"</w:t>
      </w:r>
      <w:r w:rsidR="00A1394E" w:rsidRPr="0082070A">
        <w:rPr>
          <w:rFonts w:ascii="Helvetica" w:hAnsi="Helvetica" w:cs="David" w:hint="cs"/>
          <w:sz w:val="24"/>
          <w:szCs w:val="24"/>
          <w:bdr w:val="none" w:sz="0" w:space="0" w:color="auto" w:frame="1"/>
          <w:rtl/>
        </w:rPr>
        <w:t>צינור</w:t>
      </w:r>
      <w:r w:rsidR="00A1394E">
        <w:rPr>
          <w:rFonts w:ascii="Helvetica" w:hAnsi="Helvetica" w:cs="David" w:hint="cs"/>
          <w:sz w:val="24"/>
          <w:szCs w:val="24"/>
          <w:bdr w:val="none" w:sz="0" w:space="0" w:color="auto" w:frame="1"/>
          <w:rtl/>
        </w:rPr>
        <w:t>"</w:t>
      </w:r>
      <w:r w:rsidR="00A1394E" w:rsidRPr="0082070A">
        <w:rPr>
          <w:rFonts w:ascii="Helvetica" w:hAnsi="Helvetica" w:cs="David" w:hint="cs"/>
          <w:sz w:val="24"/>
          <w:szCs w:val="24"/>
          <w:bdr w:val="none" w:sz="0" w:space="0" w:color="auto" w:frame="1"/>
          <w:rtl/>
        </w:rPr>
        <w:t xml:space="preserve"> להעברת מידע</w:t>
      </w:r>
      <w:r w:rsidR="00A1394E">
        <w:rPr>
          <w:rFonts w:ascii="Helvetica" w:hAnsi="Helvetica" w:cs="David" w:hint="cs"/>
          <w:sz w:val="24"/>
          <w:szCs w:val="24"/>
          <w:bdr w:val="none" w:sz="0" w:space="0" w:color="auto" w:frame="1"/>
          <w:rtl/>
        </w:rPr>
        <w:t xml:space="preserve"> בלבד</w:t>
      </w:r>
      <w:r w:rsidR="00A1394E" w:rsidRPr="0082070A">
        <w:rPr>
          <w:rFonts w:ascii="Helvetica" w:hAnsi="Helvetica" w:cs="David" w:hint="cs"/>
          <w:sz w:val="24"/>
          <w:szCs w:val="24"/>
          <w:bdr w:val="none" w:sz="0" w:space="0" w:color="auto" w:frame="1"/>
          <w:rtl/>
        </w:rPr>
        <w:t>)</w:t>
      </w:r>
      <w:r w:rsidR="00A1394E">
        <w:rPr>
          <w:rStyle w:val="apple-converted-space"/>
          <w:rFonts w:cs="David" w:hint="cs"/>
          <w:color w:val="000000"/>
          <w:sz w:val="24"/>
          <w:szCs w:val="24"/>
          <w:rtl/>
        </w:rPr>
        <w:t>,</w:t>
      </w:r>
      <w:r w:rsidR="00A1394E">
        <w:rPr>
          <w:rStyle w:val="ac"/>
          <w:rFonts w:cs="David"/>
          <w:color w:val="000000"/>
          <w:sz w:val="24"/>
          <w:szCs w:val="24"/>
          <w:rtl/>
        </w:rPr>
        <w:footnoteReference w:id="9"/>
      </w:r>
      <w:r w:rsidR="00A1394E">
        <w:rPr>
          <w:rStyle w:val="apple-converted-space"/>
          <w:rFonts w:cs="David" w:hint="cs"/>
          <w:color w:val="000000"/>
          <w:sz w:val="24"/>
          <w:szCs w:val="24"/>
          <w:rtl/>
        </w:rPr>
        <w:t xml:space="preserve"> אין הדבר שולל את הסמכות </w:t>
      </w:r>
      <w:r w:rsidR="00A1394E">
        <w:rPr>
          <w:rFonts w:ascii="Helvetica" w:hAnsi="Helvetica" w:cs="David" w:hint="cs"/>
          <w:sz w:val="24"/>
          <w:szCs w:val="24"/>
          <w:bdr w:val="none" w:sz="0" w:space="0" w:color="auto" w:frame="1"/>
          <w:rtl/>
        </w:rPr>
        <w:t>לחייב</w:t>
      </w:r>
      <w:r w:rsidR="00327B95">
        <w:rPr>
          <w:rFonts w:ascii="Helvetica" w:hAnsi="Helvetica" w:cs="David" w:hint="cs"/>
          <w:sz w:val="24"/>
          <w:szCs w:val="24"/>
          <w:bdr w:val="none" w:sz="0" w:space="0" w:color="auto" w:frame="1"/>
          <w:rtl/>
        </w:rPr>
        <w:t>ה</w:t>
      </w:r>
      <w:r w:rsidR="00A1394E">
        <w:rPr>
          <w:rFonts w:ascii="Helvetica" w:hAnsi="Helvetica" w:cs="David" w:hint="cs"/>
          <w:sz w:val="24"/>
          <w:szCs w:val="24"/>
          <w:bdr w:val="none" w:sz="0" w:space="0" w:color="auto" w:frame="1"/>
          <w:rtl/>
        </w:rPr>
        <w:t xml:space="preserve"> להפסיק או למנוע הפרה בהתאם לסעיף 8(3) לדירקטיבה.</w:t>
      </w:r>
      <w:r w:rsidR="00A1394E" w:rsidRPr="00D55FAB">
        <w:rPr>
          <w:rStyle w:val="ac"/>
          <w:rFonts w:cs="David"/>
          <w:color w:val="000000"/>
          <w:sz w:val="24"/>
          <w:szCs w:val="24"/>
        </w:rPr>
        <w:t xml:space="preserve"> </w:t>
      </w:r>
      <w:r w:rsidR="00A1394E" w:rsidRPr="00D55FAB">
        <w:rPr>
          <w:rStyle w:val="ac"/>
          <w:rFonts w:cs="David"/>
          <w:color w:val="000000"/>
          <w:sz w:val="24"/>
          <w:szCs w:val="24"/>
        </w:rPr>
        <w:footnoteReference w:id="10"/>
      </w:r>
      <w:r w:rsidR="00823531">
        <w:rPr>
          <w:rStyle w:val="apple-converted-space"/>
          <w:rFonts w:cs="David" w:hint="cs"/>
          <w:color w:val="000000"/>
          <w:sz w:val="24"/>
          <w:szCs w:val="24"/>
          <w:rtl/>
        </w:rPr>
        <w:t xml:space="preserve">צוין כי צו החסימה המבוקש אינו </w:t>
      </w:r>
      <w:r w:rsidR="00823531">
        <w:rPr>
          <w:rFonts w:ascii="Helvetica" w:hAnsi="Helvetica" w:cs="David" w:hint="cs"/>
          <w:sz w:val="24"/>
          <w:szCs w:val="24"/>
          <w:bdr w:val="none" w:sz="0" w:space="0" w:color="auto" w:frame="1"/>
          <w:rtl/>
        </w:rPr>
        <w:t xml:space="preserve">דורש מספקית האינטרנט לבצע ניטור של הפרות ברשת האינטרנט אלא </w:t>
      </w:r>
      <w:r w:rsidR="00D95915">
        <w:rPr>
          <w:rFonts w:ascii="Helvetica" w:hAnsi="Helvetica" w:cs="David" w:hint="cs"/>
          <w:sz w:val="24"/>
          <w:szCs w:val="24"/>
          <w:bdr w:val="none" w:sz="0" w:space="0" w:color="auto" w:frame="1"/>
          <w:rtl/>
        </w:rPr>
        <w:t>לחסום גישה לאתר המפר</w:t>
      </w:r>
      <w:r w:rsidR="009B409D">
        <w:rPr>
          <w:rFonts w:ascii="Helvetica" w:hAnsi="Helvetica" w:cs="David" w:hint="cs"/>
          <w:sz w:val="24"/>
          <w:szCs w:val="24"/>
          <w:bdr w:val="none" w:sz="0" w:space="0" w:color="auto" w:frame="1"/>
          <w:rtl/>
        </w:rPr>
        <w:t xml:space="preserve"> ועל כן </w:t>
      </w:r>
      <w:r w:rsidR="009B409D">
        <w:rPr>
          <w:rFonts w:ascii="Helvetica" w:hAnsi="Helvetica" w:cs="David" w:hint="cs"/>
          <w:sz w:val="24"/>
          <w:szCs w:val="24"/>
          <w:bdr w:val="none" w:sz="0" w:space="0" w:color="auto" w:frame="1"/>
          <w:rtl/>
        </w:rPr>
        <w:lastRenderedPageBreak/>
        <w:t>הס</w:t>
      </w:r>
      <w:r w:rsidR="003F1C87">
        <w:rPr>
          <w:rFonts w:ascii="Helvetica" w:hAnsi="Helvetica" w:cs="David" w:hint="cs"/>
          <w:sz w:val="24"/>
          <w:szCs w:val="24"/>
          <w:bdr w:val="none" w:sz="0" w:space="0" w:color="auto" w:frame="1"/>
          <w:rtl/>
        </w:rPr>
        <w:t>מכות ליתן צו חסימה לאתרים מפרים</w:t>
      </w:r>
      <w:r w:rsidR="009B409D">
        <w:rPr>
          <w:rFonts w:ascii="Helvetica" w:hAnsi="Helvetica" w:cs="David" w:hint="cs"/>
          <w:sz w:val="24"/>
          <w:szCs w:val="24"/>
          <w:bdr w:val="none" w:sz="0" w:space="0" w:color="auto" w:frame="1"/>
          <w:rtl/>
        </w:rPr>
        <w:t xml:space="preserve"> אינה מטילה חובה כללית על ספקי שירותי אינטרנט לפקח על המידע שהם מעבירים או מאחסנים</w:t>
      </w:r>
      <w:r w:rsidR="00D95915">
        <w:rPr>
          <w:rFonts w:ascii="Helvetica" w:hAnsi="Helvetica" w:cs="David" w:hint="cs"/>
          <w:sz w:val="24"/>
          <w:szCs w:val="24"/>
          <w:bdr w:val="none" w:sz="0" w:space="0" w:color="auto" w:frame="1"/>
          <w:rtl/>
        </w:rPr>
        <w:t>.</w:t>
      </w:r>
      <w:r w:rsidR="00D95915">
        <w:rPr>
          <w:rStyle w:val="ac"/>
          <w:rFonts w:ascii="Helvetica" w:hAnsi="Helvetica" w:cs="David"/>
          <w:sz w:val="24"/>
          <w:szCs w:val="24"/>
          <w:bdr w:val="none" w:sz="0" w:space="0" w:color="auto" w:frame="1"/>
          <w:rtl/>
        </w:rPr>
        <w:footnoteReference w:id="11"/>
      </w:r>
      <w:r w:rsidR="00D95915">
        <w:rPr>
          <w:rFonts w:ascii="Helvetica" w:hAnsi="Helvetica" w:cs="David" w:hint="cs"/>
          <w:sz w:val="24"/>
          <w:szCs w:val="24"/>
          <w:bdr w:val="none" w:sz="0" w:space="0" w:color="auto" w:frame="1"/>
          <w:rtl/>
        </w:rPr>
        <w:t xml:space="preserve"> </w:t>
      </w:r>
    </w:p>
    <w:p w:rsidR="009E2E68" w:rsidRDefault="004A1247" w:rsidP="00897D3F">
      <w:pPr>
        <w:spacing w:before="100" w:beforeAutospacing="1" w:after="100" w:afterAutospacing="1" w:line="360" w:lineRule="auto"/>
        <w:contextualSpacing/>
        <w:jc w:val="both"/>
        <w:rPr>
          <w:rStyle w:val="apple-converted-space"/>
          <w:rFonts w:cs="David"/>
          <w:color w:val="000000"/>
          <w:sz w:val="24"/>
          <w:szCs w:val="24"/>
        </w:rPr>
      </w:pPr>
      <w:r>
        <w:rPr>
          <w:rStyle w:val="apple-converted-space"/>
          <w:rFonts w:cs="David" w:hint="cs"/>
          <w:color w:val="000000"/>
          <w:sz w:val="24"/>
          <w:szCs w:val="24"/>
          <w:rtl/>
        </w:rPr>
        <w:t xml:space="preserve">נפסק כי לעניין דרישת הידיעה הקבועה בסעיף </w:t>
      </w:r>
      <w:r>
        <w:rPr>
          <w:rStyle w:val="apple-converted-space"/>
          <w:rFonts w:cs="David"/>
          <w:color w:val="000000"/>
          <w:sz w:val="24"/>
          <w:szCs w:val="24"/>
        </w:rPr>
        <w:t>A</w:t>
      </w:r>
      <w:r>
        <w:rPr>
          <w:rStyle w:val="apple-converted-space"/>
          <w:rFonts w:cs="David" w:hint="cs"/>
          <w:color w:val="000000"/>
          <w:sz w:val="24"/>
          <w:szCs w:val="24"/>
          <w:rtl/>
        </w:rPr>
        <w:t>97, יש להוכיח כי הספק</w:t>
      </w:r>
      <w:r w:rsidR="00327B95">
        <w:rPr>
          <w:rStyle w:val="apple-converted-space"/>
          <w:rFonts w:cs="David" w:hint="cs"/>
          <w:color w:val="000000"/>
          <w:sz w:val="24"/>
          <w:szCs w:val="24"/>
          <w:rtl/>
        </w:rPr>
        <w:t>ית</w:t>
      </w:r>
      <w:r>
        <w:rPr>
          <w:rStyle w:val="apple-converted-space"/>
          <w:rFonts w:cs="David" w:hint="cs"/>
          <w:color w:val="000000"/>
          <w:sz w:val="24"/>
          <w:szCs w:val="24"/>
          <w:rtl/>
        </w:rPr>
        <w:t xml:space="preserve"> יודע</w:t>
      </w:r>
      <w:r w:rsidR="00327B95">
        <w:rPr>
          <w:rStyle w:val="apple-converted-space"/>
          <w:rFonts w:cs="David" w:hint="cs"/>
          <w:color w:val="000000"/>
          <w:sz w:val="24"/>
          <w:szCs w:val="24"/>
          <w:rtl/>
        </w:rPr>
        <w:t>ת</w:t>
      </w:r>
      <w:r>
        <w:rPr>
          <w:rStyle w:val="apple-converted-space"/>
          <w:rFonts w:cs="David" w:hint="cs"/>
          <w:color w:val="000000"/>
          <w:sz w:val="24"/>
          <w:szCs w:val="24"/>
          <w:rtl/>
        </w:rPr>
        <w:t xml:space="preserve"> בפועל על אדם אחד או יותר אשר משתמש בשירותי</w:t>
      </w:r>
      <w:r w:rsidR="00327B95">
        <w:rPr>
          <w:rStyle w:val="apple-converted-space"/>
          <w:rFonts w:cs="David" w:hint="cs"/>
          <w:color w:val="000000"/>
          <w:sz w:val="24"/>
          <w:szCs w:val="24"/>
          <w:rtl/>
        </w:rPr>
        <w:t>ה</w:t>
      </w:r>
      <w:r>
        <w:rPr>
          <w:rStyle w:val="apple-converted-space"/>
          <w:rFonts w:cs="David" w:hint="cs"/>
          <w:color w:val="000000"/>
          <w:sz w:val="24"/>
          <w:szCs w:val="24"/>
          <w:rtl/>
        </w:rPr>
        <w:t xml:space="preserve"> על מנת להפר זכות יוצרים. ככל שיש </w:t>
      </w:r>
      <w:r w:rsidRPr="002D591D">
        <w:rPr>
          <w:rStyle w:val="apple-converted-space"/>
          <w:rFonts w:cs="David" w:hint="cs"/>
          <w:color w:val="000000"/>
          <w:sz w:val="24"/>
          <w:szCs w:val="24"/>
          <w:rtl/>
        </w:rPr>
        <w:t>לספק</w:t>
      </w:r>
      <w:r w:rsidR="00327B95">
        <w:rPr>
          <w:rStyle w:val="apple-converted-space"/>
          <w:rFonts w:cs="David" w:hint="cs"/>
          <w:color w:val="000000"/>
          <w:sz w:val="24"/>
          <w:szCs w:val="24"/>
          <w:rtl/>
        </w:rPr>
        <w:t>ית</w:t>
      </w:r>
      <w:r w:rsidRPr="002D591D">
        <w:rPr>
          <w:rStyle w:val="apple-converted-space"/>
          <w:rFonts w:cs="David" w:hint="cs"/>
          <w:color w:val="000000"/>
          <w:sz w:val="24"/>
          <w:szCs w:val="24"/>
          <w:rtl/>
        </w:rPr>
        <w:t xml:space="preserve"> יותר ידע על פעולות מפירות, כך גוברים הסיכויים  </w:t>
      </w:r>
      <w:r w:rsidR="00327B95">
        <w:rPr>
          <w:rStyle w:val="apple-converted-space"/>
          <w:rFonts w:cs="David" w:hint="cs"/>
          <w:color w:val="000000"/>
          <w:sz w:val="24"/>
          <w:szCs w:val="24"/>
          <w:rtl/>
        </w:rPr>
        <w:t>ש</w:t>
      </w:r>
      <w:r>
        <w:rPr>
          <w:rStyle w:val="apple-converted-space"/>
          <w:rFonts w:cs="David" w:hint="cs"/>
          <w:color w:val="000000"/>
          <w:sz w:val="24"/>
          <w:szCs w:val="24"/>
          <w:rtl/>
        </w:rPr>
        <w:t>קיימת</w:t>
      </w:r>
      <w:r w:rsidRPr="002D591D">
        <w:rPr>
          <w:rStyle w:val="apple-converted-space"/>
          <w:rFonts w:cs="David" w:hint="cs"/>
          <w:color w:val="000000"/>
          <w:sz w:val="24"/>
          <w:szCs w:val="24"/>
          <w:rtl/>
        </w:rPr>
        <w:t xml:space="preserve"> ידיעה בפועל. </w:t>
      </w:r>
      <w:r>
        <w:rPr>
          <w:rStyle w:val="apple-converted-space"/>
          <w:rFonts w:cs="David" w:hint="cs"/>
          <w:color w:val="000000"/>
          <w:sz w:val="24"/>
          <w:szCs w:val="24"/>
          <w:rtl/>
        </w:rPr>
        <w:t xml:space="preserve">בית המשפט פסק כי ידיעה </w:t>
      </w:r>
      <w:r w:rsidRPr="00897D3F">
        <w:rPr>
          <w:rStyle w:val="apple-converted-space"/>
          <w:rFonts w:cs="David" w:hint="cs"/>
          <w:color w:val="000000"/>
          <w:sz w:val="24"/>
          <w:szCs w:val="24"/>
          <w:rtl/>
        </w:rPr>
        <w:t>בדבר הפרות מסוימות</w:t>
      </w:r>
      <w:r>
        <w:rPr>
          <w:rStyle w:val="apple-converted-space"/>
          <w:rFonts w:cs="David" w:hint="cs"/>
          <w:color w:val="000000"/>
          <w:sz w:val="24"/>
          <w:szCs w:val="24"/>
          <w:rtl/>
        </w:rPr>
        <w:t xml:space="preserve"> אינה הכרחית כדי להוכיח ידיעה בפועל</w:t>
      </w:r>
      <w:r w:rsidRPr="002D591D">
        <w:rPr>
          <w:rStyle w:val="apple-converted-space"/>
          <w:rFonts w:cs="David" w:hint="cs"/>
          <w:color w:val="000000"/>
          <w:sz w:val="24"/>
          <w:szCs w:val="24"/>
          <w:rtl/>
        </w:rPr>
        <w:t>.</w:t>
      </w:r>
      <w:r>
        <w:rPr>
          <w:rStyle w:val="ac"/>
          <w:rFonts w:cs="David"/>
          <w:color w:val="000000"/>
          <w:sz w:val="24"/>
          <w:szCs w:val="24"/>
          <w:rtl/>
        </w:rPr>
        <w:footnoteReference w:id="12"/>
      </w:r>
      <w:r w:rsidR="00E85FF2">
        <w:rPr>
          <w:rStyle w:val="apple-converted-space"/>
          <w:rFonts w:cs="David" w:hint="cs"/>
          <w:color w:val="000000"/>
          <w:sz w:val="24"/>
          <w:szCs w:val="24"/>
          <w:rtl/>
        </w:rPr>
        <w:t xml:space="preserve"> מדד רלוונטי לבחינת הידיעה בפועל הוא </w:t>
      </w:r>
      <w:r w:rsidR="00E85FF2" w:rsidRPr="00897D3F">
        <w:rPr>
          <w:rStyle w:val="apple-converted-space"/>
          <w:rFonts w:cs="David" w:hint="cs"/>
          <w:color w:val="000000"/>
          <w:sz w:val="24"/>
          <w:szCs w:val="24"/>
          <w:rtl/>
        </w:rPr>
        <w:t>האם ניתנה הודעה לספק</w:t>
      </w:r>
      <w:r w:rsidR="00327B95" w:rsidRPr="00897D3F">
        <w:rPr>
          <w:rStyle w:val="apple-converted-space"/>
          <w:rFonts w:cs="David" w:hint="cs"/>
          <w:color w:val="000000"/>
          <w:sz w:val="24"/>
          <w:szCs w:val="24"/>
          <w:rtl/>
        </w:rPr>
        <w:t>ית</w:t>
      </w:r>
      <w:r w:rsidR="00E85FF2" w:rsidRPr="00897D3F">
        <w:rPr>
          <w:rStyle w:val="apple-converted-space"/>
          <w:rFonts w:cs="David" w:hint="cs"/>
          <w:color w:val="000000"/>
          <w:sz w:val="24"/>
          <w:szCs w:val="24"/>
          <w:rtl/>
        </w:rPr>
        <w:t xml:space="preserve"> השירות בדבר ההפרה.</w:t>
      </w:r>
      <w:r w:rsidR="00E85FF2" w:rsidRPr="00897D3F">
        <w:rPr>
          <w:rStyle w:val="ac"/>
          <w:rFonts w:cs="David"/>
          <w:color w:val="000000"/>
          <w:sz w:val="24"/>
          <w:szCs w:val="24"/>
          <w:rtl/>
        </w:rPr>
        <w:footnoteReference w:id="13"/>
      </w:r>
      <w:r w:rsidR="009E2E68" w:rsidRPr="00897D3F">
        <w:rPr>
          <w:rStyle w:val="apple-converted-space"/>
          <w:rFonts w:cs="David" w:hint="cs"/>
          <w:color w:val="000000"/>
          <w:sz w:val="24"/>
          <w:szCs w:val="24"/>
          <w:rtl/>
        </w:rPr>
        <w:t xml:space="preserve"> עוד נקבע כי הסמכות ליתן צו חסימה אינה מוגבלת למניעת המשך או חזרה על אותן הפרות אשר עליהן יש לספק</w:t>
      </w:r>
      <w:r w:rsidR="00327B95" w:rsidRPr="00897D3F">
        <w:rPr>
          <w:rStyle w:val="apple-converted-space"/>
          <w:rFonts w:cs="David" w:hint="cs"/>
          <w:color w:val="000000"/>
          <w:sz w:val="24"/>
          <w:szCs w:val="24"/>
          <w:rtl/>
        </w:rPr>
        <w:t>ית</w:t>
      </w:r>
      <w:r w:rsidR="009E2E68" w:rsidRPr="00897D3F">
        <w:rPr>
          <w:rStyle w:val="apple-converted-space"/>
          <w:rFonts w:cs="David"/>
          <w:color w:val="000000"/>
          <w:sz w:val="24"/>
          <w:szCs w:val="24"/>
          <w:rtl/>
        </w:rPr>
        <w:t xml:space="preserve"> </w:t>
      </w:r>
      <w:r w:rsidR="009E2E68" w:rsidRPr="00897D3F">
        <w:rPr>
          <w:rStyle w:val="apple-converted-space"/>
          <w:rFonts w:cs="David" w:hint="cs"/>
          <w:color w:val="000000"/>
          <w:sz w:val="24"/>
          <w:szCs w:val="24"/>
          <w:rtl/>
        </w:rPr>
        <w:t>השירות</w:t>
      </w:r>
      <w:r w:rsidR="009E2E68" w:rsidRPr="00897D3F">
        <w:rPr>
          <w:rStyle w:val="apple-converted-space"/>
          <w:rFonts w:cs="David"/>
          <w:color w:val="000000"/>
          <w:sz w:val="24"/>
          <w:szCs w:val="24"/>
          <w:rtl/>
        </w:rPr>
        <w:t xml:space="preserve"> </w:t>
      </w:r>
      <w:r w:rsidR="009E2E68" w:rsidRPr="00897D3F">
        <w:rPr>
          <w:rStyle w:val="apple-converted-space"/>
          <w:rFonts w:cs="David" w:hint="cs"/>
          <w:color w:val="000000"/>
          <w:sz w:val="24"/>
          <w:szCs w:val="24"/>
          <w:rtl/>
        </w:rPr>
        <w:t>ידיעה</w:t>
      </w:r>
      <w:r w:rsidR="009E2E68" w:rsidRPr="00897D3F">
        <w:rPr>
          <w:rStyle w:val="apple-converted-space"/>
          <w:rFonts w:cs="David"/>
          <w:color w:val="000000"/>
          <w:sz w:val="24"/>
          <w:szCs w:val="24"/>
          <w:rtl/>
        </w:rPr>
        <w:t xml:space="preserve"> </w:t>
      </w:r>
      <w:r w:rsidR="009E2E68" w:rsidRPr="00897D3F">
        <w:rPr>
          <w:rStyle w:val="apple-converted-space"/>
          <w:rFonts w:cs="David" w:hint="cs"/>
          <w:color w:val="000000"/>
          <w:sz w:val="24"/>
          <w:szCs w:val="24"/>
          <w:rtl/>
        </w:rPr>
        <w:t>בפועל.</w:t>
      </w:r>
      <w:r w:rsidR="009E2E68" w:rsidRPr="00897D3F">
        <w:rPr>
          <w:rStyle w:val="ac"/>
          <w:rFonts w:cs="David"/>
          <w:color w:val="000000"/>
          <w:sz w:val="24"/>
          <w:szCs w:val="24"/>
          <w:rtl/>
        </w:rPr>
        <w:footnoteReference w:id="14"/>
      </w:r>
      <w:r w:rsidR="009E2E68">
        <w:rPr>
          <w:rStyle w:val="apple-converted-space"/>
          <w:rFonts w:cs="David" w:hint="cs"/>
          <w:color w:val="000000"/>
          <w:sz w:val="24"/>
          <w:szCs w:val="24"/>
          <w:rtl/>
        </w:rPr>
        <w:t xml:space="preserve"> </w:t>
      </w:r>
    </w:p>
    <w:p w:rsidR="009E2E68" w:rsidRPr="009E2E68" w:rsidRDefault="009E2E68" w:rsidP="009E2E68">
      <w:pPr>
        <w:spacing w:before="100" w:beforeAutospacing="1" w:after="100" w:afterAutospacing="1" w:line="360" w:lineRule="auto"/>
        <w:contextualSpacing/>
        <w:jc w:val="both"/>
        <w:rPr>
          <w:rStyle w:val="apple-converted-space"/>
          <w:rFonts w:cs="David"/>
          <w:color w:val="000000"/>
          <w:sz w:val="24"/>
          <w:szCs w:val="24"/>
          <w:rtl/>
        </w:rPr>
      </w:pPr>
    </w:p>
    <w:p w:rsidR="0033573A" w:rsidRDefault="00A34FF1" w:rsidP="006F1AE2">
      <w:pPr>
        <w:spacing w:line="360" w:lineRule="auto"/>
        <w:contextualSpacing/>
        <w:jc w:val="both"/>
        <w:rPr>
          <w:rFonts w:cs="David"/>
          <w:sz w:val="24"/>
          <w:szCs w:val="24"/>
          <w:bdr w:val="none" w:sz="0" w:space="0" w:color="auto" w:frame="1"/>
          <w:rtl/>
        </w:rPr>
      </w:pPr>
      <w:r>
        <w:rPr>
          <w:rFonts w:cs="David" w:hint="cs"/>
          <w:sz w:val="24"/>
          <w:szCs w:val="24"/>
          <w:bdr w:val="none" w:sz="0" w:space="0" w:color="auto" w:frame="1"/>
          <w:rtl/>
        </w:rPr>
        <w:t xml:space="preserve">בית המשפט קבע כי המבקשים הוכיחו את זכאותם לקבל צו חסימה משום שזכויותיהם מופרות בקנה מידה עצום. האתרים שכנגדם מופנה הצו כוללים אמנם תכנים מפרים שאינם בבעלות המבקשים, אולם בית המשפט ציין כי בעלי הזכויות ביצירות הנוספות ייהנו גם הם ממתן הצו, וכי לא הובאו בפניו טעמים לכך שבעלי זכויות אלה </w:t>
      </w:r>
      <w:r>
        <w:rPr>
          <w:rFonts w:ascii="Helvetica" w:hAnsi="Helvetica" w:cs="David" w:hint="cs"/>
          <w:sz w:val="24"/>
          <w:szCs w:val="24"/>
          <w:bdr w:val="none" w:sz="0" w:space="0" w:color="auto" w:frame="1"/>
          <w:rtl/>
        </w:rPr>
        <w:t>לא יתמכו במתן צו חסימה. לפיכך סבר</w:t>
      </w:r>
      <w:r>
        <w:rPr>
          <w:rFonts w:cs="David" w:hint="cs"/>
          <w:sz w:val="24"/>
          <w:szCs w:val="24"/>
          <w:bdr w:val="none" w:sz="0" w:space="0" w:color="auto" w:frame="1"/>
          <w:rtl/>
        </w:rPr>
        <w:t xml:space="preserve"> בית המשפט כי יש בכך כדי לתמוך במתן הצו. </w:t>
      </w:r>
      <w:r>
        <w:rPr>
          <w:rFonts w:ascii="Helvetica" w:hAnsi="Helvetica" w:cs="David" w:hint="cs"/>
          <w:sz w:val="24"/>
          <w:szCs w:val="24"/>
          <w:bdr w:val="none" w:sz="0" w:space="0" w:color="auto" w:frame="1"/>
          <w:rtl/>
        </w:rPr>
        <w:t>בית המשפט הכיר בכך שהצו המבוקש עשוי למנוע שימוש גם בתכנים שאינם מפרים זכות יוצרים, אך קבע כי מהראיות שהובאו בפניו הסיכון לכך מזערי</w:t>
      </w:r>
      <w:r>
        <w:rPr>
          <w:rFonts w:cs="David" w:hint="cs"/>
          <w:sz w:val="24"/>
          <w:szCs w:val="24"/>
          <w:bdr w:val="none" w:sz="0" w:space="0" w:color="auto" w:frame="1"/>
          <w:rtl/>
        </w:rPr>
        <w:t>.</w:t>
      </w:r>
      <w:r>
        <w:rPr>
          <w:rStyle w:val="ac"/>
          <w:rFonts w:cs="David"/>
          <w:sz w:val="24"/>
          <w:szCs w:val="24"/>
          <w:bdr w:val="none" w:sz="0" w:space="0" w:color="auto" w:frame="1"/>
          <w:rtl/>
        </w:rPr>
        <w:footnoteReference w:id="15"/>
      </w:r>
    </w:p>
    <w:p w:rsidR="0033573A" w:rsidRPr="00344EBF" w:rsidRDefault="006F1AE2" w:rsidP="00A81387">
      <w:pPr>
        <w:spacing w:line="360" w:lineRule="auto"/>
        <w:contextualSpacing/>
        <w:jc w:val="both"/>
        <w:rPr>
          <w:rFonts w:ascii="Helvetica" w:hAnsi="Helvetica" w:cs="David"/>
          <w:sz w:val="24"/>
          <w:szCs w:val="24"/>
          <w:bdr w:val="none" w:sz="0" w:space="0" w:color="auto" w:frame="1"/>
        </w:rPr>
      </w:pPr>
      <w:r>
        <w:rPr>
          <w:rFonts w:cs="David" w:hint="cs"/>
          <w:sz w:val="24"/>
          <w:szCs w:val="24"/>
          <w:bdr w:val="none" w:sz="0" w:space="0" w:color="auto" w:frame="1"/>
          <w:rtl/>
        </w:rPr>
        <w:t xml:space="preserve">עוד </w:t>
      </w:r>
      <w:r w:rsidR="00A34FF1">
        <w:rPr>
          <w:rFonts w:cs="David" w:hint="cs"/>
          <w:sz w:val="24"/>
          <w:szCs w:val="24"/>
          <w:bdr w:val="none" w:sz="0" w:space="0" w:color="auto" w:frame="1"/>
          <w:rtl/>
        </w:rPr>
        <w:t>נקבע</w:t>
      </w:r>
      <w:r>
        <w:rPr>
          <w:rFonts w:cs="David" w:hint="cs"/>
          <w:sz w:val="24"/>
          <w:szCs w:val="24"/>
          <w:bdr w:val="none" w:sz="0" w:space="0" w:color="auto" w:frame="1"/>
          <w:rtl/>
        </w:rPr>
        <w:t xml:space="preserve"> בפסק הדין</w:t>
      </w:r>
      <w:r w:rsidR="00A34FF1">
        <w:rPr>
          <w:rFonts w:cs="David" w:hint="cs"/>
          <w:sz w:val="24"/>
          <w:szCs w:val="24"/>
          <w:bdr w:val="none" w:sz="0" w:space="0" w:color="auto" w:frame="1"/>
          <w:rtl/>
        </w:rPr>
        <w:t xml:space="preserve"> כי דרישת היעילות מתקיימת על אף יכולתם של המשתמשים</w:t>
      </w:r>
      <w:r w:rsidR="00543A6E">
        <w:rPr>
          <w:rFonts w:cs="David" w:hint="cs"/>
          <w:sz w:val="24"/>
          <w:szCs w:val="24"/>
          <w:bdr w:val="none" w:sz="0" w:space="0" w:color="auto" w:frame="1"/>
          <w:rtl/>
        </w:rPr>
        <w:t xml:space="preserve"> לעקוף את החסימה.</w:t>
      </w:r>
      <w:r w:rsidR="00A34FF1">
        <w:rPr>
          <w:rFonts w:cs="David" w:hint="cs"/>
          <w:sz w:val="24"/>
          <w:szCs w:val="24"/>
          <w:bdr w:val="none" w:sz="0" w:space="0" w:color="auto" w:frame="1"/>
          <w:rtl/>
        </w:rPr>
        <w:t xml:space="preserve"> </w:t>
      </w:r>
      <w:r w:rsidR="00543A6E">
        <w:rPr>
          <w:rFonts w:cs="David" w:hint="cs"/>
          <w:sz w:val="24"/>
          <w:szCs w:val="24"/>
          <w:bdr w:val="none" w:sz="0" w:space="0" w:color="auto" w:frame="1"/>
          <w:rtl/>
        </w:rPr>
        <w:t xml:space="preserve">זאת, </w:t>
      </w:r>
      <w:r>
        <w:rPr>
          <w:rFonts w:cs="David" w:hint="cs"/>
          <w:sz w:val="24"/>
          <w:szCs w:val="24"/>
          <w:bdr w:val="none" w:sz="0" w:space="0" w:color="auto" w:frame="1"/>
          <w:rtl/>
        </w:rPr>
        <w:t xml:space="preserve">שכן הדבר יצריך רכישת מיומנות והשקעת משאבים דבר אשר ספק אם ירצו להשקיע בו. </w:t>
      </w:r>
      <w:r w:rsidR="00543A6E">
        <w:rPr>
          <w:rFonts w:ascii="Helvetica" w:hAnsi="Helvetica" w:cs="David" w:hint="cs"/>
          <w:sz w:val="24"/>
          <w:szCs w:val="24"/>
          <w:bdr w:val="none" w:sz="0" w:space="0" w:color="auto" w:frame="1"/>
          <w:rtl/>
        </w:rPr>
        <w:t xml:space="preserve">בנוסף, בית המשפט השתכנע כי לפי הראיות שהובאו בפניו אמצעי העקיפה צפויים להוביל </w:t>
      </w:r>
      <w:r w:rsidR="00543A6E" w:rsidRPr="004A0BE4">
        <w:rPr>
          <w:rStyle w:val="apple-converted-space"/>
          <w:rFonts w:cs="David" w:hint="cs"/>
          <w:color w:val="000000"/>
          <w:sz w:val="24"/>
          <w:szCs w:val="24"/>
          <w:rtl/>
        </w:rPr>
        <w:t>לביצועים</w:t>
      </w:r>
      <w:r w:rsidR="00543A6E" w:rsidRPr="004A0BE4">
        <w:rPr>
          <w:rStyle w:val="apple-converted-space"/>
          <w:rFonts w:cs="David"/>
          <w:color w:val="000000"/>
          <w:sz w:val="24"/>
          <w:szCs w:val="24"/>
          <w:rtl/>
        </w:rPr>
        <w:t xml:space="preserve"> </w:t>
      </w:r>
      <w:r w:rsidR="00543A6E" w:rsidRPr="004A0BE4">
        <w:rPr>
          <w:rStyle w:val="apple-converted-space"/>
          <w:rFonts w:cs="David" w:hint="cs"/>
          <w:color w:val="000000"/>
          <w:sz w:val="24"/>
          <w:szCs w:val="24"/>
          <w:rtl/>
        </w:rPr>
        <w:t>איטיים</w:t>
      </w:r>
      <w:r w:rsidR="00543A6E" w:rsidRPr="004A0BE4">
        <w:rPr>
          <w:rStyle w:val="apple-converted-space"/>
          <w:rFonts w:cs="David"/>
          <w:color w:val="000000"/>
          <w:sz w:val="24"/>
          <w:szCs w:val="24"/>
          <w:rtl/>
        </w:rPr>
        <w:t xml:space="preserve"> </w:t>
      </w:r>
      <w:r w:rsidR="00543A6E" w:rsidRPr="004A0BE4">
        <w:rPr>
          <w:rStyle w:val="apple-converted-space"/>
          <w:rFonts w:cs="David" w:hint="cs"/>
          <w:color w:val="000000"/>
          <w:sz w:val="24"/>
          <w:szCs w:val="24"/>
          <w:rtl/>
        </w:rPr>
        <w:t>ו</w:t>
      </w:r>
      <w:r w:rsidR="00CA64D0">
        <w:rPr>
          <w:rStyle w:val="apple-converted-space"/>
          <w:rFonts w:cs="David" w:hint="cs"/>
          <w:color w:val="000000"/>
          <w:sz w:val="24"/>
          <w:szCs w:val="24"/>
          <w:rtl/>
        </w:rPr>
        <w:t>הורדת תכנים ב</w:t>
      </w:r>
      <w:r w:rsidR="00543A6E" w:rsidRPr="004A0BE4">
        <w:rPr>
          <w:rStyle w:val="apple-converted-space"/>
          <w:rFonts w:cs="David" w:hint="cs"/>
          <w:color w:val="000000"/>
          <w:sz w:val="24"/>
          <w:szCs w:val="24"/>
          <w:rtl/>
        </w:rPr>
        <w:t>איכות</w:t>
      </w:r>
      <w:r w:rsidR="00543A6E" w:rsidRPr="004A0BE4">
        <w:rPr>
          <w:rStyle w:val="apple-converted-space"/>
          <w:rFonts w:cs="David"/>
          <w:color w:val="000000"/>
          <w:sz w:val="24"/>
          <w:szCs w:val="24"/>
          <w:rtl/>
        </w:rPr>
        <w:t xml:space="preserve"> </w:t>
      </w:r>
      <w:r w:rsidR="00543A6E" w:rsidRPr="004A0BE4">
        <w:rPr>
          <w:rStyle w:val="apple-converted-space"/>
          <w:rFonts w:cs="David" w:hint="cs"/>
          <w:color w:val="000000"/>
          <w:sz w:val="24"/>
          <w:szCs w:val="24"/>
          <w:rtl/>
        </w:rPr>
        <w:t>נמוכ</w:t>
      </w:r>
      <w:r w:rsidR="00543A6E">
        <w:rPr>
          <w:rStyle w:val="apple-converted-space"/>
          <w:rFonts w:cs="David" w:hint="cs"/>
          <w:color w:val="000000"/>
          <w:sz w:val="24"/>
          <w:szCs w:val="24"/>
          <w:rtl/>
        </w:rPr>
        <w:t xml:space="preserve">ה יותר. כדי להתגבר על תופעות אלה, על </w:t>
      </w:r>
      <w:r w:rsidR="00543A6E">
        <w:rPr>
          <w:rFonts w:ascii="Helvetica" w:hAnsi="Helvetica" w:cs="David" w:hint="cs"/>
          <w:sz w:val="24"/>
          <w:szCs w:val="24"/>
          <w:bdr w:val="none" w:sz="0" w:space="0" w:color="auto" w:frame="1"/>
          <w:rtl/>
        </w:rPr>
        <w:t xml:space="preserve">המשתמשים לשלם תמורת שירותים שימנעו אותן, אך ייתכן שלא כל </w:t>
      </w:r>
      <w:r w:rsidR="00543A6E" w:rsidRPr="004A0BE4">
        <w:rPr>
          <w:rStyle w:val="apple-converted-space"/>
          <w:rFonts w:cs="David" w:hint="cs"/>
          <w:color w:val="000000"/>
          <w:sz w:val="24"/>
          <w:szCs w:val="24"/>
          <w:rtl/>
        </w:rPr>
        <w:t>המשתמשים</w:t>
      </w:r>
      <w:r w:rsidR="00543A6E" w:rsidRPr="004A0BE4">
        <w:rPr>
          <w:rStyle w:val="apple-converted-space"/>
          <w:rFonts w:cs="David"/>
          <w:color w:val="000000"/>
          <w:sz w:val="24"/>
          <w:szCs w:val="24"/>
          <w:rtl/>
        </w:rPr>
        <w:t xml:space="preserve"> </w:t>
      </w:r>
      <w:r w:rsidR="00543A6E" w:rsidRPr="004A0BE4">
        <w:rPr>
          <w:rStyle w:val="apple-converted-space"/>
          <w:rFonts w:cs="David" w:hint="cs"/>
          <w:color w:val="000000"/>
          <w:sz w:val="24"/>
          <w:szCs w:val="24"/>
          <w:rtl/>
        </w:rPr>
        <w:t>יהיו</w:t>
      </w:r>
      <w:r w:rsidR="00543A6E" w:rsidRPr="004A0BE4">
        <w:rPr>
          <w:rStyle w:val="apple-converted-space"/>
          <w:rFonts w:cs="David"/>
          <w:color w:val="000000"/>
          <w:sz w:val="24"/>
          <w:szCs w:val="24"/>
          <w:rtl/>
        </w:rPr>
        <w:t xml:space="preserve"> </w:t>
      </w:r>
      <w:r w:rsidR="00543A6E" w:rsidRPr="004A0BE4">
        <w:rPr>
          <w:rStyle w:val="apple-converted-space"/>
          <w:rFonts w:cs="David" w:hint="cs"/>
          <w:color w:val="000000"/>
          <w:sz w:val="24"/>
          <w:szCs w:val="24"/>
          <w:rtl/>
        </w:rPr>
        <w:t>מוכנים</w:t>
      </w:r>
      <w:r w:rsidR="00543A6E" w:rsidRPr="004A0BE4">
        <w:rPr>
          <w:rStyle w:val="apple-converted-space"/>
          <w:rFonts w:cs="David"/>
          <w:color w:val="000000"/>
          <w:sz w:val="24"/>
          <w:szCs w:val="24"/>
          <w:rtl/>
        </w:rPr>
        <w:t xml:space="preserve"> </w:t>
      </w:r>
      <w:r w:rsidR="00543A6E" w:rsidRPr="004A0BE4">
        <w:rPr>
          <w:rStyle w:val="apple-converted-space"/>
          <w:rFonts w:cs="David" w:hint="cs"/>
          <w:color w:val="000000"/>
          <w:sz w:val="24"/>
          <w:szCs w:val="24"/>
          <w:rtl/>
        </w:rPr>
        <w:t>לעשות</w:t>
      </w:r>
      <w:r w:rsidR="00543A6E" w:rsidRPr="004A0BE4">
        <w:rPr>
          <w:rStyle w:val="apple-converted-space"/>
          <w:rFonts w:cs="David"/>
          <w:color w:val="000000"/>
          <w:sz w:val="24"/>
          <w:szCs w:val="24"/>
          <w:rtl/>
        </w:rPr>
        <w:t xml:space="preserve"> </w:t>
      </w:r>
      <w:r w:rsidR="00543A6E" w:rsidRPr="004A0BE4">
        <w:rPr>
          <w:rStyle w:val="apple-converted-space"/>
          <w:rFonts w:cs="David" w:hint="cs"/>
          <w:color w:val="000000"/>
          <w:sz w:val="24"/>
          <w:szCs w:val="24"/>
          <w:rtl/>
        </w:rPr>
        <w:t>זאת</w:t>
      </w:r>
      <w:r w:rsidR="00543A6E">
        <w:rPr>
          <w:rStyle w:val="apple-converted-space"/>
          <w:rFonts w:cs="David" w:hint="cs"/>
          <w:color w:val="000000"/>
          <w:sz w:val="24"/>
          <w:szCs w:val="24"/>
          <w:rtl/>
        </w:rPr>
        <w:t xml:space="preserve">, הן בשל העלות הכספית של השירות והן נוכח בעיות אבטחה פוטנציאליות בעת </w:t>
      </w:r>
      <w:r w:rsidR="00543A6E">
        <w:rPr>
          <w:rFonts w:ascii="Helvetica" w:hAnsi="Helvetica" w:cs="David" w:hint="cs"/>
          <w:sz w:val="24"/>
          <w:szCs w:val="24"/>
          <w:bdr w:val="none" w:sz="0" w:space="0" w:color="auto" w:frame="1"/>
          <w:rtl/>
        </w:rPr>
        <w:t>השימוש בשירותים אלה. לאור האמור, קבע בית המשפט כי בפועל צו החסימה יהיה יעיל במניעת גישה לאתר, לפחות לגבי חלק מן המשתמשים הפוטנציאליים, ועל כן ישנה הצדקה לתיתו</w:t>
      </w:r>
      <w:r w:rsidR="0033573A" w:rsidRPr="00344EBF">
        <w:rPr>
          <w:rFonts w:ascii="Helvetica" w:hAnsi="Helvetica" w:cs="David" w:hint="cs"/>
          <w:sz w:val="24"/>
          <w:szCs w:val="24"/>
          <w:bdr w:val="none" w:sz="0" w:space="0" w:color="auto" w:frame="1"/>
          <w:rtl/>
        </w:rPr>
        <w:t>.</w:t>
      </w:r>
      <w:r w:rsidR="00241396">
        <w:rPr>
          <w:rStyle w:val="ac"/>
          <w:rFonts w:cs="David"/>
          <w:sz w:val="24"/>
          <w:szCs w:val="24"/>
          <w:bdr w:val="none" w:sz="0" w:space="0" w:color="auto" w:frame="1"/>
          <w:rtl/>
        </w:rPr>
        <w:footnoteReference w:id="16"/>
      </w:r>
    </w:p>
    <w:p w:rsidR="0033573A" w:rsidRDefault="00E87C6F" w:rsidP="006F1AE2">
      <w:pPr>
        <w:spacing w:after="120" w:line="360" w:lineRule="auto"/>
        <w:contextualSpacing/>
        <w:jc w:val="both"/>
        <w:rPr>
          <w:rFonts w:cs="David"/>
          <w:sz w:val="24"/>
          <w:szCs w:val="24"/>
          <w:bdr w:val="none" w:sz="0" w:space="0" w:color="auto" w:frame="1"/>
          <w:rtl/>
        </w:rPr>
      </w:pPr>
      <w:r w:rsidRPr="00534AAE">
        <w:rPr>
          <w:rFonts w:ascii="Helvetica" w:hAnsi="Helvetica" w:cs="David" w:hint="cs"/>
          <w:sz w:val="24"/>
          <w:szCs w:val="24"/>
          <w:bdr w:val="none" w:sz="0" w:space="0" w:color="auto" w:frame="1"/>
          <w:rtl/>
        </w:rPr>
        <w:t xml:space="preserve">לעניין דרישת המידתיות, מציין בית המשפט כי </w:t>
      </w:r>
      <w:r w:rsidR="0033573A" w:rsidRPr="00534AAE">
        <w:rPr>
          <w:rFonts w:ascii="Helvetica" w:hAnsi="Helvetica" w:cs="David" w:hint="cs"/>
          <w:sz w:val="24"/>
          <w:szCs w:val="24"/>
          <w:bdr w:val="none" w:sz="0" w:space="0" w:color="auto" w:frame="1"/>
          <w:rtl/>
        </w:rPr>
        <w:t>הצו מידתי כיוון שהוא</w:t>
      </w:r>
      <w:r w:rsidR="0033573A" w:rsidRPr="00534AAE">
        <w:rPr>
          <w:rFonts w:ascii="Helvetica" w:hAnsi="Helvetica" w:cs="David"/>
          <w:sz w:val="24"/>
          <w:szCs w:val="24"/>
          <w:bdr w:val="none" w:sz="0" w:space="0" w:color="auto" w:frame="1"/>
          <w:rtl/>
        </w:rPr>
        <w:t xml:space="preserve"> </w:t>
      </w:r>
      <w:r w:rsidR="0033573A" w:rsidRPr="00534AAE">
        <w:rPr>
          <w:rFonts w:ascii="Helvetica" w:hAnsi="Helvetica" w:cs="David" w:hint="cs"/>
          <w:sz w:val="24"/>
          <w:szCs w:val="24"/>
          <w:bdr w:val="none" w:sz="0" w:space="0" w:color="auto" w:frame="1"/>
          <w:rtl/>
        </w:rPr>
        <w:t>ממוקד</w:t>
      </w:r>
      <w:r w:rsidR="0033573A" w:rsidRPr="00534AAE">
        <w:rPr>
          <w:rFonts w:ascii="Helvetica" w:hAnsi="Helvetica" w:cs="David"/>
          <w:sz w:val="24"/>
          <w:szCs w:val="24"/>
          <w:bdr w:val="none" w:sz="0" w:space="0" w:color="auto" w:frame="1"/>
          <w:rtl/>
        </w:rPr>
        <w:t xml:space="preserve"> </w:t>
      </w:r>
      <w:r w:rsidRPr="00534AAE">
        <w:rPr>
          <w:rFonts w:ascii="Helvetica" w:hAnsi="Helvetica" w:cs="David" w:hint="cs"/>
          <w:sz w:val="24"/>
          <w:szCs w:val="24"/>
          <w:bdr w:val="none" w:sz="0" w:space="0" w:color="auto" w:frame="1"/>
          <w:rtl/>
        </w:rPr>
        <w:t>וכולל</w:t>
      </w:r>
      <w:r w:rsidR="0033573A" w:rsidRPr="00534AAE">
        <w:rPr>
          <w:rFonts w:ascii="Helvetica" w:hAnsi="Helvetica" w:cs="David"/>
          <w:sz w:val="24"/>
          <w:szCs w:val="24"/>
          <w:bdr w:val="none" w:sz="0" w:space="0" w:color="auto" w:frame="1"/>
          <w:rtl/>
        </w:rPr>
        <w:t xml:space="preserve"> </w:t>
      </w:r>
      <w:r w:rsidR="0033573A" w:rsidRPr="00534AAE">
        <w:rPr>
          <w:rFonts w:ascii="Helvetica" w:hAnsi="Helvetica" w:cs="David" w:hint="cs"/>
          <w:sz w:val="24"/>
          <w:szCs w:val="24"/>
          <w:bdr w:val="none" w:sz="0" w:space="0" w:color="auto" w:frame="1"/>
          <w:rtl/>
        </w:rPr>
        <w:t>אמצעי</w:t>
      </w:r>
      <w:r w:rsidR="0033573A" w:rsidRPr="00534AAE">
        <w:rPr>
          <w:rFonts w:ascii="Helvetica" w:hAnsi="Helvetica" w:cs="David"/>
          <w:sz w:val="24"/>
          <w:szCs w:val="24"/>
          <w:bdr w:val="none" w:sz="0" w:space="0" w:color="auto" w:frame="1"/>
          <w:rtl/>
        </w:rPr>
        <w:t xml:space="preserve"> </w:t>
      </w:r>
      <w:r w:rsidR="0033573A" w:rsidRPr="00534AAE">
        <w:rPr>
          <w:rFonts w:ascii="Helvetica" w:hAnsi="Helvetica" w:cs="David" w:hint="cs"/>
          <w:sz w:val="24"/>
          <w:szCs w:val="24"/>
          <w:bdr w:val="none" w:sz="0" w:space="0" w:color="auto" w:frame="1"/>
          <w:rtl/>
        </w:rPr>
        <w:t>הגנה</w:t>
      </w:r>
      <w:r w:rsidR="0033573A" w:rsidRPr="00534AAE">
        <w:rPr>
          <w:rFonts w:ascii="Helvetica" w:hAnsi="Helvetica" w:cs="David"/>
          <w:sz w:val="24"/>
          <w:szCs w:val="24"/>
          <w:bdr w:val="none" w:sz="0" w:space="0" w:color="auto" w:frame="1"/>
          <w:rtl/>
        </w:rPr>
        <w:t xml:space="preserve"> </w:t>
      </w:r>
      <w:r w:rsidR="0033573A" w:rsidRPr="00534AAE">
        <w:rPr>
          <w:rFonts w:ascii="Helvetica" w:hAnsi="Helvetica" w:cs="David" w:hint="cs"/>
          <w:sz w:val="24"/>
          <w:szCs w:val="24"/>
          <w:bdr w:val="none" w:sz="0" w:space="0" w:color="auto" w:frame="1"/>
          <w:rtl/>
        </w:rPr>
        <w:t>במקרה</w:t>
      </w:r>
      <w:r w:rsidR="0033573A" w:rsidRPr="00534AAE">
        <w:rPr>
          <w:rFonts w:ascii="Helvetica" w:hAnsi="Helvetica" w:cs="David"/>
          <w:sz w:val="24"/>
          <w:szCs w:val="24"/>
          <w:bdr w:val="none" w:sz="0" w:space="0" w:color="auto" w:frame="1"/>
          <w:rtl/>
        </w:rPr>
        <w:t xml:space="preserve"> </w:t>
      </w:r>
      <w:r w:rsidR="0033573A" w:rsidRPr="00534AAE">
        <w:rPr>
          <w:rFonts w:ascii="Helvetica" w:hAnsi="Helvetica" w:cs="David" w:hint="cs"/>
          <w:sz w:val="24"/>
          <w:szCs w:val="24"/>
          <w:bdr w:val="none" w:sz="0" w:space="0" w:color="auto" w:frame="1"/>
          <w:rtl/>
        </w:rPr>
        <w:t>של</w:t>
      </w:r>
      <w:r w:rsidR="0033573A" w:rsidRPr="00534AAE">
        <w:rPr>
          <w:rFonts w:ascii="Helvetica" w:hAnsi="Helvetica" w:cs="David"/>
          <w:sz w:val="24"/>
          <w:szCs w:val="24"/>
          <w:bdr w:val="none" w:sz="0" w:space="0" w:color="auto" w:frame="1"/>
          <w:rtl/>
        </w:rPr>
        <w:t xml:space="preserve"> </w:t>
      </w:r>
      <w:r w:rsidR="0033573A" w:rsidRPr="00534AAE">
        <w:rPr>
          <w:rFonts w:ascii="Helvetica" w:hAnsi="Helvetica" w:cs="David" w:hint="cs"/>
          <w:sz w:val="24"/>
          <w:szCs w:val="24"/>
          <w:bdr w:val="none" w:sz="0" w:space="0" w:color="auto" w:frame="1"/>
          <w:rtl/>
        </w:rPr>
        <w:t>שינוי</w:t>
      </w:r>
      <w:r w:rsidR="0033573A" w:rsidRPr="00534AAE">
        <w:rPr>
          <w:rFonts w:ascii="Helvetica" w:hAnsi="Helvetica" w:cs="David"/>
          <w:sz w:val="24"/>
          <w:szCs w:val="24"/>
          <w:bdr w:val="none" w:sz="0" w:space="0" w:color="auto" w:frame="1"/>
          <w:rtl/>
        </w:rPr>
        <w:t xml:space="preserve"> </w:t>
      </w:r>
      <w:r w:rsidR="0033573A" w:rsidRPr="00534AAE">
        <w:rPr>
          <w:rFonts w:ascii="Helvetica" w:hAnsi="Helvetica" w:cs="David" w:hint="cs"/>
          <w:sz w:val="24"/>
          <w:szCs w:val="24"/>
          <w:bdr w:val="none" w:sz="0" w:space="0" w:color="auto" w:frame="1"/>
          <w:rtl/>
        </w:rPr>
        <w:t>נסיבות</w:t>
      </w:r>
      <w:r w:rsidR="0033573A" w:rsidRPr="00534AAE">
        <w:rPr>
          <w:rFonts w:ascii="Helvetica" w:hAnsi="Helvetica" w:cs="David"/>
          <w:sz w:val="24"/>
          <w:szCs w:val="24"/>
          <w:bdr w:val="none" w:sz="0" w:space="0" w:color="auto" w:frame="1"/>
          <w:rtl/>
        </w:rPr>
        <w:t>.</w:t>
      </w:r>
      <w:r w:rsidR="0033573A" w:rsidRPr="00534AAE">
        <w:rPr>
          <w:rFonts w:ascii="Helvetica" w:hAnsi="Helvetica" w:cs="David" w:hint="cs"/>
          <w:sz w:val="24"/>
          <w:szCs w:val="24"/>
          <w:bdr w:val="none" w:sz="0" w:space="0" w:color="auto" w:frame="1"/>
          <w:rtl/>
        </w:rPr>
        <w:t xml:space="preserve"> כמו כן, ציין בית המשפט כי עלות</w:t>
      </w:r>
      <w:r w:rsidR="0033573A" w:rsidRPr="00534AAE">
        <w:rPr>
          <w:rFonts w:ascii="Helvetica" w:hAnsi="Helvetica" w:cs="David"/>
          <w:sz w:val="24"/>
          <w:szCs w:val="24"/>
          <w:bdr w:val="none" w:sz="0" w:space="0" w:color="auto" w:frame="1"/>
          <w:rtl/>
        </w:rPr>
        <w:t xml:space="preserve"> </w:t>
      </w:r>
      <w:r w:rsidR="0033573A" w:rsidRPr="00534AAE">
        <w:rPr>
          <w:rFonts w:ascii="Helvetica" w:hAnsi="Helvetica" w:cs="David" w:hint="cs"/>
          <w:sz w:val="24"/>
          <w:szCs w:val="24"/>
          <w:bdr w:val="none" w:sz="0" w:space="0" w:color="auto" w:frame="1"/>
          <w:rtl/>
        </w:rPr>
        <w:t>היישום</w:t>
      </w:r>
      <w:r w:rsidR="0033573A" w:rsidRPr="00534AAE">
        <w:rPr>
          <w:rFonts w:ascii="Helvetica" w:hAnsi="Helvetica" w:cs="David"/>
          <w:sz w:val="24"/>
          <w:szCs w:val="24"/>
          <w:bdr w:val="none" w:sz="0" w:space="0" w:color="auto" w:frame="1"/>
          <w:rtl/>
        </w:rPr>
        <w:t xml:space="preserve"> </w:t>
      </w:r>
      <w:r w:rsidRPr="00534AAE">
        <w:rPr>
          <w:rFonts w:ascii="Helvetica" w:hAnsi="Helvetica" w:cs="David" w:hint="cs"/>
          <w:sz w:val="24"/>
          <w:szCs w:val="24"/>
          <w:bdr w:val="none" w:sz="0" w:space="0" w:color="auto" w:frame="1"/>
          <w:rtl/>
        </w:rPr>
        <w:t>המושתת ע</w:t>
      </w:r>
      <w:r w:rsidR="0033573A" w:rsidRPr="00534AAE">
        <w:rPr>
          <w:rFonts w:ascii="Helvetica" w:hAnsi="Helvetica" w:cs="David" w:hint="cs"/>
          <w:sz w:val="24"/>
          <w:szCs w:val="24"/>
          <w:bdr w:val="none" w:sz="0" w:space="0" w:color="auto" w:frame="1"/>
          <w:rtl/>
        </w:rPr>
        <w:t>ל</w:t>
      </w:r>
      <w:r w:rsidRPr="00534AAE">
        <w:rPr>
          <w:rFonts w:ascii="Helvetica" w:hAnsi="Helvetica" w:cs="David" w:hint="cs"/>
          <w:sz w:val="24"/>
          <w:szCs w:val="24"/>
          <w:bdr w:val="none" w:sz="0" w:space="0" w:color="auto" w:frame="1"/>
          <w:rtl/>
        </w:rPr>
        <w:t xml:space="preserve"> </w:t>
      </w:r>
      <w:r w:rsidR="0033573A" w:rsidRPr="00534AAE">
        <w:rPr>
          <w:rFonts w:ascii="Helvetica" w:hAnsi="Helvetica" w:cs="David" w:hint="cs"/>
          <w:sz w:val="24"/>
          <w:szCs w:val="24"/>
          <w:bdr w:val="none" w:sz="0" w:space="0" w:color="auto" w:frame="1"/>
          <w:rtl/>
        </w:rPr>
        <w:t>ספקיות האינטרנט  צנועה</w:t>
      </w:r>
      <w:r w:rsidR="0033573A" w:rsidRPr="00534AAE">
        <w:rPr>
          <w:rFonts w:ascii="Helvetica" w:hAnsi="Helvetica" w:cs="David"/>
          <w:sz w:val="24"/>
          <w:szCs w:val="24"/>
          <w:bdr w:val="none" w:sz="0" w:space="0" w:color="auto" w:frame="1"/>
          <w:rtl/>
        </w:rPr>
        <w:t xml:space="preserve"> </w:t>
      </w:r>
      <w:r w:rsidR="0033573A" w:rsidRPr="00534AAE">
        <w:rPr>
          <w:rFonts w:ascii="Helvetica" w:hAnsi="Helvetica" w:cs="David" w:hint="cs"/>
          <w:sz w:val="24"/>
          <w:szCs w:val="24"/>
          <w:bdr w:val="none" w:sz="0" w:space="0" w:color="auto" w:frame="1"/>
          <w:rtl/>
        </w:rPr>
        <w:t>ומידתית</w:t>
      </w:r>
      <w:r w:rsidR="0033573A" w:rsidRPr="00534AAE">
        <w:rPr>
          <w:rFonts w:ascii="Helvetica" w:hAnsi="Helvetica" w:cs="David"/>
          <w:sz w:val="24"/>
          <w:szCs w:val="24"/>
          <w:bdr w:val="none" w:sz="0" w:space="0" w:color="auto" w:frame="1"/>
          <w:rtl/>
        </w:rPr>
        <w:t>.</w:t>
      </w:r>
      <w:r w:rsidR="0033573A" w:rsidRPr="00534AAE">
        <w:rPr>
          <w:rStyle w:val="ac"/>
          <w:rFonts w:ascii="Helvetica" w:hAnsi="Helvetica" w:cs="David"/>
          <w:sz w:val="24"/>
          <w:szCs w:val="24"/>
          <w:bdr w:val="none" w:sz="0" w:space="0" w:color="auto" w:frame="1"/>
          <w:rtl/>
        </w:rPr>
        <w:footnoteReference w:id="17"/>
      </w:r>
      <w:r w:rsidR="0033573A" w:rsidRPr="00534AAE">
        <w:rPr>
          <w:rFonts w:ascii="Helvetica" w:hAnsi="Helvetica" w:cs="David" w:hint="cs"/>
          <w:sz w:val="24"/>
          <w:szCs w:val="24"/>
          <w:bdr w:val="none" w:sz="0" w:space="0" w:color="auto" w:frame="1"/>
          <w:rtl/>
        </w:rPr>
        <w:t xml:space="preserve"> </w:t>
      </w:r>
      <w:r w:rsidRPr="00534AAE">
        <w:rPr>
          <w:rFonts w:cs="David" w:hint="cs"/>
          <w:sz w:val="24"/>
          <w:szCs w:val="24"/>
          <w:bdr w:val="none" w:sz="0" w:space="0" w:color="auto" w:frame="1"/>
          <w:rtl/>
        </w:rPr>
        <w:t>מאידך,</w:t>
      </w:r>
      <w:r w:rsidR="0033573A" w:rsidRPr="00534AAE">
        <w:rPr>
          <w:rFonts w:cs="David" w:hint="cs"/>
          <w:sz w:val="24"/>
          <w:szCs w:val="24"/>
          <w:bdr w:val="none" w:sz="0" w:space="0" w:color="auto" w:frame="1"/>
          <w:rtl/>
        </w:rPr>
        <w:t xml:space="preserve"> דר</w:t>
      </w:r>
      <w:r w:rsidRPr="00534AAE">
        <w:rPr>
          <w:rFonts w:cs="David" w:hint="cs"/>
          <w:sz w:val="24"/>
          <w:szCs w:val="24"/>
          <w:bdr w:val="none" w:sz="0" w:space="0" w:color="auto" w:frame="1"/>
          <w:rtl/>
        </w:rPr>
        <w:t>י</w:t>
      </w:r>
      <w:r w:rsidR="0033573A" w:rsidRPr="00534AAE">
        <w:rPr>
          <w:rFonts w:cs="David" w:hint="cs"/>
          <w:sz w:val="24"/>
          <w:szCs w:val="24"/>
          <w:bdr w:val="none" w:sz="0" w:space="0" w:color="auto" w:frame="1"/>
          <w:rtl/>
        </w:rPr>
        <w:t xml:space="preserve">שה </w:t>
      </w:r>
      <w:r w:rsidRPr="00534AAE">
        <w:rPr>
          <w:rFonts w:cs="David" w:hint="cs"/>
          <w:sz w:val="24"/>
          <w:szCs w:val="24"/>
          <w:bdr w:val="none" w:sz="0" w:space="0" w:color="auto" w:frame="1"/>
          <w:rtl/>
        </w:rPr>
        <w:t xml:space="preserve">כי </w:t>
      </w:r>
      <w:r w:rsidR="0033573A" w:rsidRPr="00534AAE">
        <w:rPr>
          <w:rFonts w:cs="David" w:hint="cs"/>
          <w:sz w:val="24"/>
          <w:szCs w:val="24"/>
          <w:bdr w:val="none" w:sz="0" w:space="0" w:color="auto" w:frame="1"/>
          <w:rtl/>
        </w:rPr>
        <w:t>בעלי הזכויות יעבירו ל</w:t>
      </w:r>
      <w:r w:rsidRPr="00534AAE">
        <w:rPr>
          <w:rFonts w:cs="David" w:hint="cs"/>
          <w:sz w:val="24"/>
          <w:szCs w:val="24"/>
          <w:bdr w:val="none" w:sz="0" w:space="0" w:color="auto" w:frame="1"/>
          <w:rtl/>
        </w:rPr>
        <w:t>ספקית שירותי האינטרנט</w:t>
      </w:r>
      <w:r w:rsidR="0033573A" w:rsidRPr="00534AAE">
        <w:rPr>
          <w:rFonts w:cs="David" w:hint="cs"/>
          <w:sz w:val="24"/>
          <w:szCs w:val="24"/>
          <w:bdr w:val="none" w:sz="0" w:space="0" w:color="auto" w:frame="1"/>
          <w:rtl/>
        </w:rPr>
        <w:t xml:space="preserve"> כתובות</w:t>
      </w:r>
      <w:r w:rsidR="0033573A" w:rsidRPr="00534AAE">
        <w:rPr>
          <w:rFonts w:cs="David"/>
          <w:sz w:val="24"/>
          <w:szCs w:val="24"/>
          <w:bdr w:val="none" w:sz="0" w:space="0" w:color="auto" w:frame="1"/>
        </w:rPr>
        <w:t xml:space="preserve">URL </w:t>
      </w:r>
      <w:r w:rsidR="0033573A" w:rsidRPr="00534AAE">
        <w:rPr>
          <w:rFonts w:cs="David" w:hint="cs"/>
          <w:sz w:val="24"/>
          <w:szCs w:val="24"/>
          <w:bdr w:val="none" w:sz="0" w:space="0" w:color="auto" w:frame="1"/>
          <w:rtl/>
        </w:rPr>
        <w:t xml:space="preserve"> ספציפיות </w:t>
      </w:r>
      <w:r w:rsidRPr="00534AAE">
        <w:rPr>
          <w:rFonts w:cs="David" w:hint="cs"/>
          <w:sz w:val="24"/>
          <w:szCs w:val="24"/>
          <w:bdr w:val="none" w:sz="0" w:space="0" w:color="auto" w:frame="1"/>
          <w:rtl/>
        </w:rPr>
        <w:t>שבהן</w:t>
      </w:r>
      <w:r w:rsidR="0033573A" w:rsidRPr="00534AAE">
        <w:rPr>
          <w:rFonts w:cs="David" w:hint="cs"/>
          <w:sz w:val="24"/>
          <w:szCs w:val="24"/>
          <w:bdr w:val="none" w:sz="0" w:space="0" w:color="auto" w:frame="1"/>
          <w:rtl/>
        </w:rPr>
        <w:t xml:space="preserve"> יש תכנים מפרים, לא תהיה מידתית או יעילה כיוון ש</w:t>
      </w:r>
      <w:r w:rsidRPr="00534AAE">
        <w:rPr>
          <w:rFonts w:cs="David" w:hint="cs"/>
          <w:sz w:val="24"/>
          <w:szCs w:val="24"/>
          <w:bdr w:val="none" w:sz="0" w:space="0" w:color="auto" w:frame="1"/>
          <w:rtl/>
        </w:rPr>
        <w:t>ת</w:t>
      </w:r>
      <w:r w:rsidR="0033573A" w:rsidRPr="00534AAE">
        <w:rPr>
          <w:rFonts w:cs="David" w:hint="cs"/>
          <w:sz w:val="24"/>
          <w:szCs w:val="24"/>
          <w:bdr w:val="none" w:sz="0" w:space="0" w:color="auto" w:frame="1"/>
          <w:rtl/>
        </w:rPr>
        <w:t>דרוש מבעלי הזכויות להשקיע מאמץ ניכר וכן עלויות רבות, ובעלי הזכויות ייאלצו לספק, על בסיס יומי, לספקית רשימה של כתובות אינטרנט. אולם, בית המשפט ציין כי עמדתו הייתה אחרת אם חלק ניכר מהתוכן באתר המפר לא היה מפר זכות יוצרים.</w:t>
      </w:r>
      <w:r w:rsidR="0033573A" w:rsidRPr="00534AAE">
        <w:rPr>
          <w:rStyle w:val="ac"/>
          <w:rFonts w:ascii="Helvetica" w:hAnsi="Helvetica" w:cs="David"/>
          <w:sz w:val="24"/>
          <w:szCs w:val="24"/>
          <w:bdr w:val="none" w:sz="0" w:space="0" w:color="auto" w:frame="1"/>
          <w:rtl/>
        </w:rPr>
        <w:footnoteReference w:id="18"/>
      </w:r>
    </w:p>
    <w:p w:rsidR="00E87C6F" w:rsidRDefault="00E87C6F" w:rsidP="00E87C6F">
      <w:pPr>
        <w:spacing w:after="120" w:line="360" w:lineRule="auto"/>
        <w:contextualSpacing/>
        <w:jc w:val="both"/>
        <w:rPr>
          <w:rFonts w:cs="David"/>
          <w:sz w:val="24"/>
          <w:szCs w:val="24"/>
          <w:bdr w:val="none" w:sz="0" w:space="0" w:color="auto" w:frame="1"/>
          <w:rtl/>
        </w:rPr>
      </w:pPr>
    </w:p>
    <w:p w:rsidR="0033573A" w:rsidRDefault="00790E73" w:rsidP="0016061E">
      <w:pPr>
        <w:spacing w:after="120" w:line="360" w:lineRule="auto"/>
        <w:contextualSpacing/>
        <w:jc w:val="both"/>
        <w:rPr>
          <w:rFonts w:cs="David"/>
          <w:sz w:val="24"/>
          <w:szCs w:val="24"/>
          <w:bdr w:val="none" w:sz="0" w:space="0" w:color="auto" w:frame="1"/>
          <w:rtl/>
        </w:rPr>
      </w:pPr>
      <w:r>
        <w:rPr>
          <w:rFonts w:cs="David" w:hint="cs"/>
          <w:sz w:val="24"/>
          <w:szCs w:val="24"/>
          <w:bdr w:val="none" w:sz="0" w:space="0" w:color="auto" w:frame="1"/>
          <w:rtl/>
        </w:rPr>
        <w:t xml:space="preserve">פסק הדין השני בעניין </w:t>
      </w:r>
      <w:r w:rsidRPr="00790E73">
        <w:rPr>
          <w:rFonts w:cs="David" w:hint="cs"/>
          <w:b/>
          <w:bCs/>
          <w:sz w:val="24"/>
          <w:szCs w:val="24"/>
          <w:bdr w:val="none" w:sz="0" w:space="0" w:color="auto" w:frame="1"/>
          <w:rtl/>
        </w:rPr>
        <w:t>פוקס</w:t>
      </w:r>
      <w:r w:rsidR="00CE1E33">
        <w:rPr>
          <w:rStyle w:val="ac"/>
          <w:rFonts w:cs="David"/>
          <w:sz w:val="24"/>
          <w:szCs w:val="24"/>
          <w:bdr w:val="none" w:sz="0" w:space="0" w:color="auto" w:frame="1"/>
          <w:rtl/>
        </w:rPr>
        <w:footnoteReference w:id="19"/>
      </w:r>
      <w:r>
        <w:rPr>
          <w:rFonts w:cs="David" w:hint="cs"/>
          <w:b/>
          <w:bCs/>
          <w:sz w:val="24"/>
          <w:szCs w:val="24"/>
          <w:bdr w:val="none" w:sz="0" w:space="0" w:color="auto" w:frame="1"/>
          <w:rtl/>
        </w:rPr>
        <w:t xml:space="preserve"> </w:t>
      </w:r>
      <w:r>
        <w:rPr>
          <w:rFonts w:cs="David" w:hint="cs"/>
          <w:sz w:val="24"/>
          <w:szCs w:val="24"/>
          <w:bdr w:val="none" w:sz="0" w:space="0" w:color="auto" w:frame="1"/>
          <w:rtl/>
        </w:rPr>
        <w:t xml:space="preserve">קבע את </w:t>
      </w:r>
      <w:r w:rsidR="00CE1E33">
        <w:rPr>
          <w:rFonts w:cs="David" w:hint="cs"/>
          <w:sz w:val="24"/>
          <w:szCs w:val="24"/>
          <w:bdr w:val="none" w:sz="0" w:space="0" w:color="auto" w:frame="1"/>
          <w:rtl/>
        </w:rPr>
        <w:t>האופן בו תיחסם הגישה לאתר</w:t>
      </w:r>
      <w:r>
        <w:rPr>
          <w:rFonts w:cs="David" w:hint="cs"/>
          <w:sz w:val="24"/>
          <w:szCs w:val="24"/>
          <w:bdr w:val="none" w:sz="0" w:space="0" w:color="auto" w:frame="1"/>
          <w:rtl/>
        </w:rPr>
        <w:t xml:space="preserve">. בית המשפט הורה </w:t>
      </w:r>
      <w:r w:rsidR="00CE1E33">
        <w:rPr>
          <w:rFonts w:cs="David" w:hint="cs"/>
          <w:sz w:val="24"/>
          <w:szCs w:val="24"/>
          <w:bdr w:val="none" w:sz="0" w:space="0" w:color="auto" w:frame="1"/>
          <w:rtl/>
        </w:rPr>
        <w:t>לנתב מחדש את כתובות ה-</w:t>
      </w:r>
      <w:r w:rsidR="00CE1E33">
        <w:rPr>
          <w:rFonts w:cs="David"/>
          <w:sz w:val="24"/>
          <w:szCs w:val="24"/>
          <w:bdr w:val="none" w:sz="0" w:space="0" w:color="auto" w:frame="1"/>
        </w:rPr>
        <w:t>IP</w:t>
      </w:r>
      <w:r w:rsidR="00CE1E33">
        <w:rPr>
          <w:rFonts w:cs="David" w:hint="cs"/>
          <w:sz w:val="24"/>
          <w:szCs w:val="24"/>
          <w:bdr w:val="none" w:sz="0" w:space="0" w:color="auto" w:frame="1"/>
          <w:rtl/>
        </w:rPr>
        <w:t xml:space="preserve"> שמהן פועל האתר המפר,</w:t>
      </w:r>
      <w:r w:rsidR="00CE1E33">
        <w:rPr>
          <w:rStyle w:val="ac"/>
          <w:rFonts w:cs="David"/>
          <w:sz w:val="24"/>
          <w:szCs w:val="24"/>
          <w:bdr w:val="none" w:sz="0" w:space="0" w:color="auto" w:frame="1"/>
          <w:rtl/>
        </w:rPr>
        <w:footnoteReference w:id="20"/>
      </w:r>
      <w:r w:rsidR="00CE1E33">
        <w:rPr>
          <w:rFonts w:cs="David" w:hint="cs"/>
          <w:sz w:val="24"/>
          <w:szCs w:val="24"/>
          <w:bdr w:val="none" w:sz="0" w:space="0" w:color="auto" w:frame="1"/>
          <w:rtl/>
        </w:rPr>
        <w:t xml:space="preserve"> וציין כי אינו מורה על חסימת כתובת ה-</w:t>
      </w:r>
      <w:r w:rsidR="00CE1E33">
        <w:rPr>
          <w:rFonts w:cs="David"/>
          <w:sz w:val="24"/>
          <w:szCs w:val="24"/>
          <w:bdr w:val="none" w:sz="0" w:space="0" w:color="auto" w:frame="1"/>
        </w:rPr>
        <w:t>IP</w:t>
      </w:r>
      <w:r w:rsidR="00CE1E33">
        <w:rPr>
          <w:rFonts w:cs="David" w:hint="cs"/>
          <w:sz w:val="24"/>
          <w:szCs w:val="24"/>
          <w:bdr w:val="none" w:sz="0" w:space="0" w:color="auto" w:frame="1"/>
          <w:rtl/>
        </w:rPr>
        <w:t xml:space="preserve"> מחשש לחסימת יתר </w:t>
      </w:r>
      <w:r w:rsidR="00CE1E33">
        <w:rPr>
          <w:rFonts w:cs="David" w:hint="cs"/>
          <w:sz w:val="24"/>
          <w:szCs w:val="24"/>
          <w:rtl/>
        </w:rPr>
        <w:t>של אתרים או דפים שאינם</w:t>
      </w:r>
      <w:r w:rsidR="00CE1E33" w:rsidRPr="004D5D44">
        <w:rPr>
          <w:rFonts w:cs="David" w:hint="cs"/>
          <w:sz w:val="24"/>
          <w:szCs w:val="24"/>
          <w:rtl/>
        </w:rPr>
        <w:t xml:space="preserve"> צריכים להיחסם</w:t>
      </w:r>
      <w:r w:rsidR="00CE1E33">
        <w:rPr>
          <w:rFonts w:cs="David" w:hint="cs"/>
          <w:sz w:val="24"/>
          <w:szCs w:val="24"/>
          <w:rtl/>
        </w:rPr>
        <w:t>.</w:t>
      </w:r>
      <w:r w:rsidR="0016061E">
        <w:rPr>
          <w:rStyle w:val="ac"/>
          <w:rFonts w:cs="David"/>
          <w:sz w:val="24"/>
          <w:szCs w:val="24"/>
          <w:rtl/>
        </w:rPr>
        <w:footnoteReference w:id="21"/>
      </w:r>
      <w:r w:rsidR="005762B8">
        <w:rPr>
          <w:rFonts w:cs="David" w:hint="cs"/>
          <w:sz w:val="24"/>
          <w:szCs w:val="24"/>
          <w:rtl/>
        </w:rPr>
        <w:t xml:space="preserve"> </w:t>
      </w:r>
      <w:r w:rsidR="00E76D4E">
        <w:rPr>
          <w:rFonts w:cs="David" w:hint="cs"/>
          <w:sz w:val="24"/>
          <w:szCs w:val="24"/>
          <w:bdr w:val="none" w:sz="0" w:space="0" w:color="auto" w:frame="1"/>
          <w:rtl/>
        </w:rPr>
        <w:t>על פי ה</w:t>
      </w:r>
      <w:r w:rsidR="0033573A">
        <w:rPr>
          <w:rFonts w:cs="David" w:hint="cs"/>
          <w:sz w:val="24"/>
          <w:szCs w:val="24"/>
          <w:bdr w:val="none" w:sz="0" w:space="0" w:color="auto" w:frame="1"/>
          <w:rtl/>
        </w:rPr>
        <w:t>צו</w:t>
      </w:r>
      <w:r w:rsidR="00E76D4E">
        <w:rPr>
          <w:rFonts w:cs="David" w:hint="cs"/>
          <w:sz w:val="24"/>
          <w:szCs w:val="24"/>
          <w:bdr w:val="none" w:sz="0" w:space="0" w:color="auto" w:frame="1"/>
          <w:rtl/>
        </w:rPr>
        <w:t>,</w:t>
      </w:r>
      <w:r w:rsidR="0033573A">
        <w:rPr>
          <w:rFonts w:cs="David" w:hint="cs"/>
          <w:sz w:val="24"/>
          <w:szCs w:val="24"/>
          <w:bdr w:val="none" w:sz="0" w:space="0" w:color="auto" w:frame="1"/>
          <w:rtl/>
        </w:rPr>
        <w:t xml:space="preserve"> קיימת </w:t>
      </w:r>
      <w:r w:rsidR="0033573A">
        <w:rPr>
          <w:rFonts w:cs="David" w:hint="cs"/>
          <w:sz w:val="24"/>
          <w:szCs w:val="24"/>
          <w:rtl/>
        </w:rPr>
        <w:t xml:space="preserve">לבעלי הזכויות </w:t>
      </w:r>
      <w:r w:rsidR="0033573A" w:rsidRPr="004D5D44">
        <w:rPr>
          <w:rFonts w:cs="David" w:hint="cs"/>
          <w:sz w:val="24"/>
          <w:szCs w:val="24"/>
          <w:rtl/>
        </w:rPr>
        <w:t>אפשרות להודיע</w:t>
      </w:r>
      <w:r w:rsidR="0033573A">
        <w:rPr>
          <w:rFonts w:cs="David" w:hint="cs"/>
          <w:sz w:val="24"/>
          <w:szCs w:val="24"/>
          <w:rtl/>
        </w:rPr>
        <w:t xml:space="preserve"> לספקית</w:t>
      </w:r>
      <w:r w:rsidR="0033573A" w:rsidRPr="004D5D44">
        <w:rPr>
          <w:rFonts w:cs="David" w:hint="cs"/>
          <w:sz w:val="24"/>
          <w:szCs w:val="24"/>
          <w:rtl/>
        </w:rPr>
        <w:t xml:space="preserve"> על כתובת </w:t>
      </w:r>
      <w:r w:rsidR="0033573A" w:rsidRPr="0016061E">
        <w:rPr>
          <w:rFonts w:cs="David" w:hint="cs"/>
          <w:sz w:val="24"/>
          <w:szCs w:val="24"/>
          <w:rtl/>
        </w:rPr>
        <w:t>נוספות</w:t>
      </w:r>
      <w:r w:rsidR="0016061E">
        <w:rPr>
          <w:rFonts w:cs="David" w:hint="cs"/>
          <w:sz w:val="24"/>
          <w:szCs w:val="24"/>
          <w:rtl/>
        </w:rPr>
        <w:t xml:space="preserve"> המיועדות לחסימה</w:t>
      </w:r>
      <w:r w:rsidR="0033573A" w:rsidRPr="0016061E">
        <w:rPr>
          <w:rFonts w:cs="David" w:hint="cs"/>
          <w:sz w:val="24"/>
          <w:szCs w:val="24"/>
          <w:rtl/>
        </w:rPr>
        <w:t xml:space="preserve">, כאשר המטרה </w:t>
      </w:r>
      <w:r w:rsidR="0016061E" w:rsidRPr="0016061E">
        <w:rPr>
          <w:rFonts w:cs="David" w:hint="cs"/>
          <w:sz w:val="24"/>
          <w:szCs w:val="24"/>
          <w:rtl/>
        </w:rPr>
        <w:t xml:space="preserve">היחידה או </w:t>
      </w:r>
      <w:r w:rsidR="0033573A" w:rsidRPr="0016061E">
        <w:rPr>
          <w:rFonts w:cs="David" w:hint="cs"/>
          <w:sz w:val="24"/>
          <w:szCs w:val="24"/>
          <w:rtl/>
        </w:rPr>
        <w:t>העיקרית של אותם אתרים היא לספק גישה לאתר המפר.</w:t>
      </w:r>
      <w:r w:rsidR="0033573A" w:rsidRPr="0016061E">
        <w:rPr>
          <w:rStyle w:val="ac"/>
          <w:rFonts w:cs="David"/>
          <w:sz w:val="24"/>
          <w:szCs w:val="24"/>
          <w:rtl/>
        </w:rPr>
        <w:footnoteReference w:id="22"/>
      </w:r>
      <w:r w:rsidR="0033573A" w:rsidRPr="0016061E">
        <w:rPr>
          <w:rFonts w:cs="David" w:hint="cs"/>
          <w:sz w:val="24"/>
          <w:szCs w:val="24"/>
          <w:rtl/>
        </w:rPr>
        <w:t xml:space="preserve"> </w:t>
      </w:r>
      <w:r w:rsidR="00B559BF" w:rsidRPr="0016061E">
        <w:rPr>
          <w:rFonts w:cs="David" w:hint="cs"/>
          <w:sz w:val="24"/>
          <w:szCs w:val="24"/>
          <w:rtl/>
        </w:rPr>
        <w:t>ה</w:t>
      </w:r>
      <w:r w:rsidR="00B559BF">
        <w:rPr>
          <w:rFonts w:cs="David" w:hint="cs"/>
          <w:sz w:val="24"/>
          <w:szCs w:val="24"/>
          <w:rtl/>
        </w:rPr>
        <w:t>אחריות לזהות כתובות נוספות אלה מוטלת על בעלי הזכויות שיודיעו לספקית הגישה, ו</w:t>
      </w:r>
      <w:r w:rsidR="0033573A" w:rsidRPr="00CB32DE">
        <w:rPr>
          <w:rFonts w:cs="David" w:hint="cs"/>
          <w:sz w:val="24"/>
          <w:szCs w:val="24"/>
          <w:rtl/>
        </w:rPr>
        <w:t xml:space="preserve">במקרה של מחלוקת </w:t>
      </w:r>
      <w:r w:rsidR="0033573A">
        <w:rPr>
          <w:rFonts w:cs="David" w:hint="cs"/>
          <w:sz w:val="24"/>
          <w:szCs w:val="24"/>
          <w:rtl/>
        </w:rPr>
        <w:t>לגבי כתובת מסוימת,</w:t>
      </w:r>
      <w:r w:rsidR="0033573A" w:rsidRPr="00CB32DE">
        <w:rPr>
          <w:rFonts w:cs="David" w:hint="cs"/>
          <w:sz w:val="24"/>
          <w:szCs w:val="24"/>
          <w:rtl/>
        </w:rPr>
        <w:t xml:space="preserve"> ניתן יהיה לפנות לבית המשפט </w:t>
      </w:r>
      <w:r w:rsidR="00B559BF">
        <w:rPr>
          <w:rFonts w:cs="David" w:hint="cs"/>
          <w:sz w:val="24"/>
          <w:szCs w:val="24"/>
          <w:rtl/>
        </w:rPr>
        <w:t>להכרעה</w:t>
      </w:r>
      <w:r w:rsidR="0033573A" w:rsidRPr="00CB32DE">
        <w:rPr>
          <w:rFonts w:cs="David" w:hint="cs"/>
          <w:sz w:val="24"/>
          <w:szCs w:val="24"/>
          <w:rtl/>
        </w:rPr>
        <w:t>.</w:t>
      </w:r>
      <w:r w:rsidR="0033573A">
        <w:rPr>
          <w:rStyle w:val="ac"/>
          <w:rFonts w:cs="David"/>
          <w:sz w:val="24"/>
          <w:szCs w:val="24"/>
          <w:rtl/>
        </w:rPr>
        <w:footnoteReference w:id="23"/>
      </w:r>
    </w:p>
    <w:p w:rsidR="00B559BF" w:rsidRDefault="00B559BF" w:rsidP="00AC1E7B">
      <w:pPr>
        <w:spacing w:after="120" w:line="360" w:lineRule="auto"/>
        <w:contextualSpacing/>
        <w:jc w:val="both"/>
        <w:rPr>
          <w:rFonts w:cs="David"/>
          <w:sz w:val="24"/>
          <w:szCs w:val="24"/>
          <w:rtl/>
        </w:rPr>
      </w:pPr>
      <w:r>
        <w:rPr>
          <w:rFonts w:cs="David" w:hint="cs"/>
          <w:sz w:val="24"/>
          <w:szCs w:val="24"/>
          <w:bdr w:val="none" w:sz="0" w:space="0" w:color="auto" w:frame="1"/>
          <w:rtl/>
        </w:rPr>
        <w:t xml:space="preserve">בית המשפט קבע כי אין חובה על בעלי הזכויות לבקש צווי חסימה שיוטלו על ספקיות שירותי </w:t>
      </w:r>
      <w:r w:rsidR="00AC1E7B">
        <w:rPr>
          <w:rFonts w:cs="David" w:hint="cs"/>
          <w:sz w:val="24"/>
          <w:szCs w:val="24"/>
          <w:bdr w:val="none" w:sz="0" w:space="0" w:color="auto" w:frame="1"/>
          <w:rtl/>
        </w:rPr>
        <w:t xml:space="preserve">אינטרנט </w:t>
      </w:r>
      <w:r w:rsidR="00C86B2A">
        <w:rPr>
          <w:rFonts w:cs="David" w:hint="cs"/>
          <w:sz w:val="24"/>
          <w:szCs w:val="24"/>
          <w:bdr w:val="none" w:sz="0" w:space="0" w:color="auto" w:frame="1"/>
          <w:rtl/>
        </w:rPr>
        <w:t xml:space="preserve">אחרות או על </w:t>
      </w:r>
      <w:r>
        <w:rPr>
          <w:rFonts w:cs="David" w:hint="cs"/>
          <w:sz w:val="24"/>
          <w:szCs w:val="24"/>
          <w:bdr w:val="none" w:sz="0" w:space="0" w:color="auto" w:frame="1"/>
          <w:rtl/>
        </w:rPr>
        <w:t>גורמי ביניים רלוונטיים אחרים, והחלטה זו נתונה לבחירתם. עם זאת</w:t>
      </w:r>
      <w:r w:rsidR="00872369">
        <w:rPr>
          <w:rFonts w:cs="David" w:hint="cs"/>
          <w:sz w:val="24"/>
          <w:szCs w:val="24"/>
          <w:bdr w:val="none" w:sz="0" w:space="0" w:color="auto" w:frame="1"/>
          <w:rtl/>
        </w:rPr>
        <w:t>,</w:t>
      </w:r>
      <w:r>
        <w:rPr>
          <w:rFonts w:cs="David" w:hint="cs"/>
          <w:sz w:val="24"/>
          <w:szCs w:val="24"/>
          <w:bdr w:val="none" w:sz="0" w:space="0" w:color="auto" w:frame="1"/>
          <w:rtl/>
        </w:rPr>
        <w:t xml:space="preserve"> ציין בית המשפט כי סוגיה זו מעלה שאלות מתחום דיני התחרות</w:t>
      </w:r>
      <w:r w:rsidRPr="00AC1E7B">
        <w:rPr>
          <w:rFonts w:cs="David" w:hint="cs"/>
          <w:sz w:val="24"/>
          <w:szCs w:val="24"/>
          <w:bdr w:val="none" w:sz="0" w:space="0" w:color="auto" w:frame="1"/>
          <w:rtl/>
        </w:rPr>
        <w:t xml:space="preserve">, </w:t>
      </w:r>
      <w:r w:rsidR="00AC1E7B" w:rsidRPr="00AC1E7B">
        <w:rPr>
          <w:rFonts w:cs="David" w:hint="cs"/>
          <w:sz w:val="24"/>
          <w:szCs w:val="24"/>
          <w:bdr w:val="none" w:sz="0" w:space="0" w:color="auto" w:frame="1"/>
          <w:rtl/>
        </w:rPr>
        <w:t>אשר יידונו במסגרת המתאימה להם</w:t>
      </w:r>
      <w:r w:rsidRPr="00AC1E7B">
        <w:rPr>
          <w:rFonts w:cs="David" w:hint="cs"/>
          <w:sz w:val="24"/>
          <w:szCs w:val="24"/>
          <w:rtl/>
        </w:rPr>
        <w:t>.</w:t>
      </w:r>
      <w:r w:rsidRPr="00AC1E7B">
        <w:rPr>
          <w:rStyle w:val="ac"/>
          <w:rFonts w:cs="David"/>
          <w:sz w:val="24"/>
          <w:szCs w:val="24"/>
          <w:rtl/>
        </w:rPr>
        <w:footnoteReference w:id="24"/>
      </w:r>
    </w:p>
    <w:p w:rsidR="0033573A" w:rsidRPr="00602DE3" w:rsidRDefault="00872369" w:rsidP="00602DE3">
      <w:pPr>
        <w:spacing w:after="120" w:line="360" w:lineRule="auto"/>
        <w:contextualSpacing/>
        <w:jc w:val="both"/>
        <w:rPr>
          <w:rtl/>
        </w:rPr>
      </w:pPr>
      <w:r>
        <w:rPr>
          <w:rFonts w:cs="David" w:hint="cs"/>
          <w:sz w:val="24"/>
          <w:szCs w:val="24"/>
          <w:rtl/>
        </w:rPr>
        <w:t xml:space="preserve">עוד </w:t>
      </w:r>
      <w:r w:rsidR="00B559BF">
        <w:rPr>
          <w:rFonts w:cs="David" w:hint="cs"/>
          <w:sz w:val="24"/>
          <w:szCs w:val="24"/>
          <w:rtl/>
        </w:rPr>
        <w:t xml:space="preserve">נקבע כי העלויות בגין יישום הצו יושתו על </w:t>
      </w:r>
      <w:r w:rsidR="0033573A">
        <w:rPr>
          <w:rFonts w:cs="David" w:hint="cs"/>
          <w:sz w:val="24"/>
          <w:szCs w:val="24"/>
          <w:rtl/>
        </w:rPr>
        <w:t>ספקית ה</w:t>
      </w:r>
      <w:r w:rsidR="00B559BF">
        <w:rPr>
          <w:rFonts w:cs="David" w:hint="cs"/>
          <w:sz w:val="24"/>
          <w:szCs w:val="24"/>
          <w:rtl/>
        </w:rPr>
        <w:t>גישה לאינטרנט</w:t>
      </w:r>
      <w:r w:rsidR="0033573A">
        <w:rPr>
          <w:rFonts w:cs="David" w:hint="cs"/>
          <w:sz w:val="24"/>
          <w:szCs w:val="24"/>
          <w:rtl/>
        </w:rPr>
        <w:t xml:space="preserve"> </w:t>
      </w:r>
      <w:r w:rsidR="00B559BF">
        <w:rPr>
          <w:rFonts w:cs="David" w:hint="cs"/>
          <w:sz w:val="24"/>
          <w:szCs w:val="24"/>
          <w:rtl/>
        </w:rPr>
        <w:t>מאחר שמדובר</w:t>
      </w:r>
      <w:r w:rsidR="0033573A" w:rsidRPr="007158E0">
        <w:rPr>
          <w:rFonts w:cs="David" w:hint="cs"/>
          <w:sz w:val="24"/>
          <w:szCs w:val="24"/>
          <w:rtl/>
        </w:rPr>
        <w:t xml:space="preserve"> </w:t>
      </w:r>
      <w:r w:rsidR="00B559BF">
        <w:rPr>
          <w:rFonts w:cs="David" w:hint="cs"/>
          <w:sz w:val="24"/>
          <w:szCs w:val="24"/>
          <w:rtl/>
        </w:rPr>
        <w:t>ב</w:t>
      </w:r>
      <w:r w:rsidR="0033573A" w:rsidRPr="007158E0">
        <w:rPr>
          <w:rFonts w:cs="David" w:hint="cs"/>
          <w:sz w:val="24"/>
          <w:szCs w:val="24"/>
          <w:rtl/>
        </w:rPr>
        <w:t xml:space="preserve">גורם מסחרי אשר </w:t>
      </w:r>
      <w:r w:rsidR="00B559BF">
        <w:rPr>
          <w:rFonts w:cs="David" w:hint="cs"/>
          <w:sz w:val="24"/>
          <w:szCs w:val="24"/>
          <w:rtl/>
        </w:rPr>
        <w:t>מפיק</w:t>
      </w:r>
      <w:r w:rsidR="0033573A" w:rsidRPr="007158E0">
        <w:rPr>
          <w:rFonts w:cs="David" w:hint="cs"/>
          <w:sz w:val="24"/>
          <w:szCs w:val="24"/>
          <w:rtl/>
        </w:rPr>
        <w:t xml:space="preserve"> רווח ממתן שירותים</w:t>
      </w:r>
      <w:r w:rsidR="0033573A">
        <w:rPr>
          <w:rFonts w:cs="David" w:hint="cs"/>
          <w:sz w:val="24"/>
          <w:szCs w:val="24"/>
          <w:rtl/>
        </w:rPr>
        <w:t>,</w:t>
      </w:r>
      <w:r w:rsidR="0033573A" w:rsidRPr="007158E0">
        <w:rPr>
          <w:rFonts w:cs="David" w:hint="cs"/>
          <w:sz w:val="24"/>
          <w:szCs w:val="24"/>
          <w:rtl/>
        </w:rPr>
        <w:t xml:space="preserve"> </w:t>
      </w:r>
      <w:r>
        <w:rPr>
          <w:rFonts w:cs="David" w:hint="cs"/>
          <w:sz w:val="24"/>
          <w:szCs w:val="24"/>
          <w:rtl/>
        </w:rPr>
        <w:t>הן ל</w:t>
      </w:r>
      <w:r w:rsidR="0033573A" w:rsidRPr="007158E0">
        <w:rPr>
          <w:rFonts w:cs="David" w:hint="cs"/>
          <w:sz w:val="24"/>
          <w:szCs w:val="24"/>
          <w:rtl/>
        </w:rPr>
        <w:t xml:space="preserve">מפעילי האתר המפר </w:t>
      </w:r>
      <w:r>
        <w:rPr>
          <w:rFonts w:cs="David" w:hint="cs"/>
          <w:sz w:val="24"/>
          <w:szCs w:val="24"/>
          <w:rtl/>
        </w:rPr>
        <w:t>והן ל</w:t>
      </w:r>
      <w:r w:rsidR="0033573A" w:rsidRPr="007158E0">
        <w:rPr>
          <w:rFonts w:cs="David" w:hint="cs"/>
          <w:sz w:val="24"/>
          <w:szCs w:val="24"/>
          <w:rtl/>
        </w:rPr>
        <w:t>משתמשים באתר</w:t>
      </w:r>
      <w:r>
        <w:rPr>
          <w:rFonts w:cs="David" w:hint="cs"/>
          <w:sz w:val="24"/>
          <w:szCs w:val="24"/>
          <w:rtl/>
        </w:rPr>
        <w:t>,</w:t>
      </w:r>
      <w:r w:rsidR="0033573A" w:rsidRPr="007158E0">
        <w:rPr>
          <w:rFonts w:cs="David" w:hint="cs"/>
          <w:sz w:val="24"/>
          <w:szCs w:val="24"/>
          <w:rtl/>
        </w:rPr>
        <w:t xml:space="preserve"> </w:t>
      </w:r>
      <w:r w:rsidR="00534AAE">
        <w:rPr>
          <w:rFonts w:cs="David" w:hint="cs"/>
          <w:sz w:val="24"/>
          <w:szCs w:val="24"/>
          <w:rtl/>
        </w:rPr>
        <w:t>שירותים בהם נעשה שימוש שמ</w:t>
      </w:r>
      <w:r w:rsidR="0033573A" w:rsidRPr="007158E0">
        <w:rPr>
          <w:rFonts w:cs="David" w:hint="cs"/>
          <w:sz w:val="24"/>
          <w:szCs w:val="24"/>
          <w:rtl/>
        </w:rPr>
        <w:t>פר זכויות</w:t>
      </w:r>
      <w:r>
        <w:rPr>
          <w:rFonts w:cs="David" w:hint="cs"/>
          <w:sz w:val="24"/>
          <w:szCs w:val="24"/>
          <w:rtl/>
        </w:rPr>
        <w:t xml:space="preserve"> יוצרים.</w:t>
      </w:r>
      <w:r w:rsidR="0033573A" w:rsidRPr="007158E0">
        <w:rPr>
          <w:rFonts w:cs="David" w:hint="cs"/>
          <w:sz w:val="24"/>
          <w:szCs w:val="24"/>
          <w:rtl/>
        </w:rPr>
        <w:t xml:space="preserve"> בית המשפט מציין כי העלויות של יישום הצו צריכות להילקח בחשבון בעת בחינת המידתיות של הצו, </w:t>
      </w:r>
      <w:r>
        <w:rPr>
          <w:rFonts w:cs="David" w:hint="cs"/>
          <w:sz w:val="24"/>
          <w:szCs w:val="24"/>
          <w:rtl/>
        </w:rPr>
        <w:t>כ</w:t>
      </w:r>
      <w:r w:rsidR="00602DE3">
        <w:rPr>
          <w:rFonts w:cs="David" w:hint="cs"/>
          <w:sz w:val="24"/>
          <w:szCs w:val="24"/>
          <w:rtl/>
        </w:rPr>
        <w:t>פי</w:t>
      </w:r>
      <w:r>
        <w:rPr>
          <w:rFonts w:cs="David" w:hint="cs"/>
          <w:sz w:val="24"/>
          <w:szCs w:val="24"/>
          <w:rtl/>
        </w:rPr>
        <w:t xml:space="preserve"> </w:t>
      </w:r>
      <w:r w:rsidR="00602DE3">
        <w:rPr>
          <w:rFonts w:cs="David" w:hint="cs"/>
          <w:sz w:val="24"/>
          <w:szCs w:val="24"/>
          <w:rtl/>
        </w:rPr>
        <w:t>שנ</w:t>
      </w:r>
      <w:r>
        <w:rPr>
          <w:rFonts w:cs="David" w:hint="cs"/>
          <w:sz w:val="24"/>
          <w:szCs w:val="24"/>
          <w:rtl/>
        </w:rPr>
        <w:t xml:space="preserve">קבע בפוקס הראשון </w:t>
      </w:r>
      <w:r w:rsidR="0033573A" w:rsidRPr="007158E0">
        <w:rPr>
          <w:rFonts w:cs="David" w:hint="cs"/>
          <w:sz w:val="24"/>
          <w:szCs w:val="24"/>
          <w:rtl/>
        </w:rPr>
        <w:t xml:space="preserve"> כי העלות </w:t>
      </w:r>
      <w:r>
        <w:rPr>
          <w:rFonts w:cs="David" w:hint="cs"/>
          <w:sz w:val="24"/>
          <w:szCs w:val="24"/>
          <w:rtl/>
        </w:rPr>
        <w:t xml:space="preserve">המושתת </w:t>
      </w:r>
      <w:r w:rsidR="0033573A" w:rsidRPr="007158E0">
        <w:rPr>
          <w:rFonts w:cs="David" w:hint="cs"/>
          <w:sz w:val="24"/>
          <w:szCs w:val="24"/>
          <w:rtl/>
        </w:rPr>
        <w:t xml:space="preserve">על הספקית צנועה ומידתית </w:t>
      </w:r>
      <w:r>
        <w:rPr>
          <w:rFonts w:cs="David" w:hint="cs"/>
          <w:sz w:val="24"/>
          <w:szCs w:val="24"/>
          <w:rtl/>
        </w:rPr>
        <w:t>ו</w:t>
      </w:r>
      <w:r w:rsidR="00B559BF">
        <w:rPr>
          <w:rFonts w:cs="David" w:hint="cs"/>
          <w:sz w:val="24"/>
          <w:szCs w:val="24"/>
          <w:rtl/>
        </w:rPr>
        <w:t xml:space="preserve">אף </w:t>
      </w:r>
      <w:r w:rsidR="0033573A" w:rsidRPr="007158E0">
        <w:rPr>
          <w:rFonts w:cs="David" w:hint="cs"/>
          <w:sz w:val="24"/>
          <w:szCs w:val="24"/>
          <w:rtl/>
        </w:rPr>
        <w:t>נתמ</w:t>
      </w:r>
      <w:r w:rsidR="00B559BF">
        <w:rPr>
          <w:rFonts w:cs="David" w:hint="cs"/>
          <w:sz w:val="24"/>
          <w:szCs w:val="24"/>
          <w:rtl/>
        </w:rPr>
        <w:t>כ</w:t>
      </w:r>
      <w:r w:rsidR="00602DE3">
        <w:rPr>
          <w:rFonts w:cs="David" w:hint="cs"/>
          <w:sz w:val="24"/>
          <w:szCs w:val="24"/>
          <w:rtl/>
        </w:rPr>
        <w:t>ה</w:t>
      </w:r>
      <w:r w:rsidR="0033573A" w:rsidRPr="007158E0">
        <w:rPr>
          <w:rFonts w:cs="David" w:hint="cs"/>
          <w:sz w:val="24"/>
          <w:szCs w:val="24"/>
          <w:rtl/>
        </w:rPr>
        <w:t xml:space="preserve"> בראיות שהגישה הספקית עצמה.</w:t>
      </w:r>
      <w:r w:rsidR="0033573A" w:rsidRPr="007158E0">
        <w:rPr>
          <w:rFonts w:ascii="Times New Roman" w:hAnsi="Times New Roman"/>
          <w:rtl/>
        </w:rPr>
        <w:t xml:space="preserve"> </w:t>
      </w:r>
      <w:r>
        <w:rPr>
          <w:rFonts w:cs="David" w:hint="cs"/>
          <w:sz w:val="24"/>
          <w:szCs w:val="24"/>
          <w:rtl/>
        </w:rPr>
        <w:t xml:space="preserve">יחד עם זאת, </w:t>
      </w:r>
      <w:r w:rsidR="0033573A" w:rsidRPr="007158E0">
        <w:rPr>
          <w:rFonts w:cs="David" w:hint="cs"/>
          <w:sz w:val="24"/>
          <w:szCs w:val="24"/>
          <w:rtl/>
        </w:rPr>
        <w:t>בית המשפט לא פסל את האפשרות שבתיק אחר המבקש עצמו יצטרך לשלם חלק</w:t>
      </w:r>
      <w:r w:rsidR="0033573A">
        <w:rPr>
          <w:rFonts w:cs="David" w:hint="cs"/>
          <w:sz w:val="24"/>
          <w:szCs w:val="24"/>
          <w:rtl/>
        </w:rPr>
        <w:t xml:space="preserve"> מהעלויות</w:t>
      </w:r>
      <w:r w:rsidR="0033573A" w:rsidRPr="007158E0">
        <w:rPr>
          <w:rFonts w:cs="David" w:hint="cs"/>
          <w:sz w:val="24"/>
          <w:szCs w:val="24"/>
          <w:rtl/>
        </w:rPr>
        <w:t xml:space="preserve"> או את </w:t>
      </w:r>
      <w:r w:rsidR="0033573A">
        <w:rPr>
          <w:rFonts w:cs="David" w:hint="cs"/>
          <w:sz w:val="24"/>
          <w:szCs w:val="24"/>
          <w:rtl/>
        </w:rPr>
        <w:t>כולן</w:t>
      </w:r>
      <w:r w:rsidR="0033573A" w:rsidRPr="007158E0">
        <w:rPr>
          <w:rFonts w:cs="David" w:hint="cs"/>
          <w:sz w:val="24"/>
          <w:szCs w:val="24"/>
          <w:rtl/>
        </w:rPr>
        <w:t>, לפי החלטת בית המשפט באותו תיק.</w:t>
      </w:r>
      <w:r w:rsidR="0033573A" w:rsidRPr="007158E0">
        <w:rPr>
          <w:rStyle w:val="ac"/>
        </w:rPr>
        <w:footnoteReference w:id="25"/>
      </w:r>
    </w:p>
    <w:p w:rsidR="00B559BF" w:rsidRDefault="00B559BF" w:rsidP="00B559BF">
      <w:pPr>
        <w:spacing w:after="120" w:line="360" w:lineRule="auto"/>
        <w:contextualSpacing/>
        <w:jc w:val="both"/>
      </w:pPr>
    </w:p>
    <w:p w:rsidR="00E13CE0" w:rsidRPr="00E13CE0" w:rsidRDefault="00E13CE0" w:rsidP="00FE48C9">
      <w:pPr>
        <w:spacing w:after="0" w:line="360" w:lineRule="auto"/>
        <w:contextualSpacing/>
        <w:jc w:val="both"/>
        <w:rPr>
          <w:rFonts w:cs="David"/>
          <w:sz w:val="24"/>
          <w:szCs w:val="24"/>
          <w:rtl/>
        </w:rPr>
      </w:pPr>
      <w:r>
        <w:rPr>
          <w:rFonts w:cs="David" w:hint="cs"/>
          <w:sz w:val="24"/>
          <w:szCs w:val="24"/>
          <w:rtl/>
        </w:rPr>
        <w:t>בית המשפט דחה את בקשת ספקיות הגישה לאינטרנט לקבוע כי הן ישופו עבור נזקיהן בגין ביצוע הצו</w:t>
      </w:r>
      <w:r w:rsidR="00872369">
        <w:rPr>
          <w:rFonts w:cs="David" w:hint="cs"/>
          <w:sz w:val="24"/>
          <w:szCs w:val="24"/>
          <w:rtl/>
        </w:rPr>
        <w:t>.</w:t>
      </w:r>
      <w:r>
        <w:rPr>
          <w:rFonts w:cs="David" w:hint="cs"/>
          <w:sz w:val="24"/>
          <w:szCs w:val="24"/>
          <w:rtl/>
        </w:rPr>
        <w:t xml:space="preserve"> </w:t>
      </w:r>
      <w:r w:rsidR="00FE48C9">
        <w:rPr>
          <w:rFonts w:cs="David" w:hint="cs"/>
          <w:sz w:val="24"/>
          <w:szCs w:val="24"/>
          <w:rtl/>
        </w:rPr>
        <w:t xml:space="preserve"> לפי בית המשפט </w:t>
      </w:r>
      <w:r>
        <w:rPr>
          <w:rFonts w:cs="David" w:hint="cs"/>
          <w:sz w:val="24"/>
          <w:szCs w:val="24"/>
          <w:rtl/>
        </w:rPr>
        <w:t>אם המדובר בהפסדים עקיפים</w:t>
      </w:r>
      <w:r w:rsidR="00872369">
        <w:rPr>
          <w:rFonts w:cs="David" w:hint="cs"/>
          <w:sz w:val="24"/>
          <w:szCs w:val="24"/>
          <w:rtl/>
        </w:rPr>
        <w:t>,</w:t>
      </w:r>
      <w:r w:rsidRPr="00E13CE0">
        <w:rPr>
          <w:rFonts w:cs="David" w:hint="cs"/>
          <w:sz w:val="24"/>
          <w:szCs w:val="24"/>
          <w:rtl/>
        </w:rPr>
        <w:t xml:space="preserve"> </w:t>
      </w:r>
      <w:r w:rsidRPr="003B3231">
        <w:rPr>
          <w:rFonts w:cs="David" w:hint="cs"/>
          <w:sz w:val="24"/>
          <w:szCs w:val="24"/>
          <w:rtl/>
        </w:rPr>
        <w:t xml:space="preserve">כגון </w:t>
      </w:r>
      <w:r w:rsidR="003B3231" w:rsidRPr="003B3231">
        <w:rPr>
          <w:rFonts w:cs="David" w:hint="cs"/>
          <w:sz w:val="24"/>
          <w:szCs w:val="24"/>
          <w:rtl/>
        </w:rPr>
        <w:t>כתוצאה מפריצות למערכות הספקית</w:t>
      </w:r>
      <w:r w:rsidRPr="003B3231">
        <w:rPr>
          <w:rFonts w:cs="David" w:hint="cs"/>
          <w:sz w:val="24"/>
          <w:szCs w:val="24"/>
          <w:rtl/>
        </w:rPr>
        <w:t>,</w:t>
      </w:r>
      <w:r>
        <w:rPr>
          <w:rFonts w:cs="David" w:hint="cs"/>
          <w:sz w:val="24"/>
          <w:szCs w:val="24"/>
          <w:rtl/>
        </w:rPr>
        <w:t xml:space="preserve">  אין הצדקה להטיל חבות על בעלי הזכויות בגין נזקים שייגרמו על ידי מעשים לא חוקיים של צד שלישי</w:t>
      </w:r>
      <w:r w:rsidR="00FE48C9">
        <w:rPr>
          <w:rFonts w:cs="David" w:hint="cs"/>
          <w:sz w:val="24"/>
          <w:szCs w:val="24"/>
          <w:rtl/>
        </w:rPr>
        <w:t>.</w:t>
      </w:r>
      <w:r>
        <w:rPr>
          <w:rFonts w:cs="David" w:hint="cs"/>
          <w:sz w:val="24"/>
          <w:szCs w:val="24"/>
          <w:rtl/>
        </w:rPr>
        <w:t xml:space="preserve"> אם מדובר בהוצאות בגין תביעות של מנויים או צדדים שלישיים אחרים, למשל בגין </w:t>
      </w:r>
      <w:r>
        <w:rPr>
          <w:rFonts w:cs="David" w:hint="cs"/>
          <w:sz w:val="24"/>
          <w:szCs w:val="24"/>
          <w:rtl/>
        </w:rPr>
        <w:lastRenderedPageBreak/>
        <w:t xml:space="preserve">חסימת יתר, העובדה כי ספקיות האינטרנט היו </w:t>
      </w:r>
      <w:r w:rsidRPr="009E5D05">
        <w:rPr>
          <w:rFonts w:cs="David" w:hint="cs"/>
          <w:sz w:val="24"/>
          <w:szCs w:val="24"/>
          <w:rtl/>
        </w:rPr>
        <w:t>מחויבות</w:t>
      </w:r>
      <w:r>
        <w:rPr>
          <w:rFonts w:cs="David" w:hint="cs"/>
          <w:sz w:val="24"/>
          <w:szCs w:val="24"/>
          <w:rtl/>
        </w:rPr>
        <w:t xml:space="preserve"> לכך בשל צו החסימה שניתן על ידי בית המשפט, מהווה</w:t>
      </w:r>
      <w:r w:rsidRPr="00673695">
        <w:rPr>
          <w:rFonts w:cs="David" w:hint="cs"/>
          <w:sz w:val="24"/>
          <w:szCs w:val="24"/>
          <w:rtl/>
        </w:rPr>
        <w:t xml:space="preserve"> הגנה </w:t>
      </w:r>
      <w:r>
        <w:rPr>
          <w:rFonts w:cs="David" w:hint="cs"/>
          <w:sz w:val="24"/>
          <w:szCs w:val="24"/>
          <w:rtl/>
        </w:rPr>
        <w:t>מפני</w:t>
      </w:r>
      <w:r w:rsidRPr="00673695">
        <w:rPr>
          <w:rFonts w:cs="David" w:hint="cs"/>
          <w:sz w:val="24"/>
          <w:szCs w:val="24"/>
          <w:rtl/>
        </w:rPr>
        <w:t xml:space="preserve"> טענות אל</w:t>
      </w:r>
      <w:r>
        <w:rPr>
          <w:rFonts w:cs="David" w:hint="cs"/>
          <w:sz w:val="24"/>
          <w:szCs w:val="24"/>
          <w:rtl/>
        </w:rPr>
        <w:t>ה</w:t>
      </w:r>
      <w:r w:rsidRPr="00673695">
        <w:rPr>
          <w:rFonts w:cs="David" w:hint="cs"/>
          <w:sz w:val="24"/>
          <w:szCs w:val="24"/>
          <w:rtl/>
        </w:rPr>
        <w:t>.</w:t>
      </w:r>
      <w:r>
        <w:rPr>
          <w:rStyle w:val="ac"/>
          <w:rFonts w:cs="David"/>
          <w:sz w:val="24"/>
          <w:szCs w:val="24"/>
        </w:rPr>
        <w:footnoteReference w:id="26"/>
      </w:r>
    </w:p>
    <w:p w:rsidR="0033573A" w:rsidRPr="00E13CE0" w:rsidRDefault="00FE48C9" w:rsidP="005C3196">
      <w:pPr>
        <w:spacing w:after="0" w:line="360" w:lineRule="auto"/>
        <w:contextualSpacing/>
        <w:jc w:val="both"/>
        <w:rPr>
          <w:rFonts w:cs="David"/>
          <w:sz w:val="24"/>
          <w:szCs w:val="24"/>
        </w:rPr>
      </w:pPr>
      <w:r>
        <w:rPr>
          <w:rFonts w:cs="David" w:hint="cs"/>
          <w:sz w:val="24"/>
          <w:szCs w:val="24"/>
          <w:rtl/>
        </w:rPr>
        <w:t xml:space="preserve">עוד קבע </w:t>
      </w:r>
      <w:r w:rsidR="00E13CE0" w:rsidRPr="00E13CE0">
        <w:rPr>
          <w:rFonts w:cs="David" w:hint="cs"/>
          <w:sz w:val="24"/>
          <w:szCs w:val="24"/>
          <w:rtl/>
        </w:rPr>
        <w:t xml:space="preserve">בית המשפט כי לצדדים  </w:t>
      </w:r>
      <w:r>
        <w:rPr>
          <w:rFonts w:cs="David" w:hint="cs"/>
          <w:sz w:val="24"/>
          <w:szCs w:val="24"/>
          <w:rtl/>
        </w:rPr>
        <w:t>ה</w:t>
      </w:r>
      <w:r w:rsidR="00E13CE0" w:rsidRPr="00E13CE0">
        <w:rPr>
          <w:rFonts w:cs="David" w:hint="cs"/>
          <w:sz w:val="24"/>
          <w:szCs w:val="24"/>
          <w:rtl/>
        </w:rPr>
        <w:t xml:space="preserve">אפשרות </w:t>
      </w:r>
      <w:r w:rsidR="005C3196">
        <w:rPr>
          <w:rFonts w:cs="David" w:hint="cs"/>
          <w:sz w:val="24"/>
          <w:szCs w:val="24"/>
          <w:rtl/>
        </w:rPr>
        <w:t>לבקש שינוי צו</w:t>
      </w:r>
      <w:r w:rsidR="00E13CE0" w:rsidRPr="00E13CE0">
        <w:rPr>
          <w:rFonts w:cs="David" w:hint="cs"/>
          <w:sz w:val="24"/>
          <w:szCs w:val="24"/>
          <w:rtl/>
        </w:rPr>
        <w:t>, במקרה של שינוי מהותי בנסיבות, למשל, שינוי בעלויות, השלכות על הצדדים וכן היעילות של האמצעים הטכניים עליהם ציווה בית המשפט, מעת לעת.</w:t>
      </w:r>
      <w:r w:rsidR="0033573A">
        <w:rPr>
          <w:rStyle w:val="ac"/>
          <w:rFonts w:cs="David"/>
          <w:sz w:val="24"/>
          <w:szCs w:val="24"/>
          <w:rtl/>
        </w:rPr>
        <w:footnoteReference w:id="27"/>
      </w:r>
    </w:p>
    <w:p w:rsidR="007B6A5D" w:rsidRDefault="007B6A5D" w:rsidP="00D74DB8">
      <w:pPr>
        <w:spacing w:afterLines="120" w:after="288" w:line="360" w:lineRule="auto"/>
        <w:contextualSpacing/>
        <w:jc w:val="both"/>
        <w:rPr>
          <w:rFonts w:cs="David"/>
          <w:sz w:val="24"/>
          <w:szCs w:val="24"/>
          <w:rtl/>
        </w:rPr>
      </w:pPr>
    </w:p>
    <w:p w:rsidR="00195326" w:rsidRPr="00195326" w:rsidRDefault="00D629E4" w:rsidP="009E5D05">
      <w:pPr>
        <w:spacing w:after="0" w:line="360" w:lineRule="auto"/>
        <w:contextualSpacing/>
        <w:jc w:val="both"/>
        <w:rPr>
          <w:rFonts w:cs="David"/>
          <w:sz w:val="24"/>
          <w:szCs w:val="24"/>
          <w:rtl/>
        </w:rPr>
      </w:pPr>
      <w:r w:rsidRPr="00D629E4">
        <w:rPr>
          <w:rFonts w:cs="David" w:hint="cs"/>
          <w:sz w:val="24"/>
          <w:szCs w:val="24"/>
          <w:rtl/>
        </w:rPr>
        <w:t>בעניין ה</w:t>
      </w:r>
      <w:r w:rsidR="00C74AB9" w:rsidRPr="00D629E4">
        <w:rPr>
          <w:rFonts w:cs="David" w:hint="cs"/>
          <w:b/>
          <w:bCs/>
          <w:sz w:val="24"/>
          <w:szCs w:val="24"/>
          <w:rtl/>
        </w:rPr>
        <w:t>פרמייר</w:t>
      </w:r>
      <w:r w:rsidR="00C74AB9" w:rsidRPr="00D629E4">
        <w:rPr>
          <w:rFonts w:cs="David"/>
          <w:b/>
          <w:bCs/>
          <w:sz w:val="24"/>
          <w:szCs w:val="24"/>
          <w:rtl/>
        </w:rPr>
        <w:t xml:space="preserve"> </w:t>
      </w:r>
      <w:r w:rsidR="00C74AB9" w:rsidRPr="00D629E4">
        <w:rPr>
          <w:rFonts w:cs="David" w:hint="cs"/>
          <w:b/>
          <w:bCs/>
          <w:sz w:val="24"/>
          <w:szCs w:val="24"/>
          <w:rtl/>
        </w:rPr>
        <w:t>ליג</w:t>
      </w:r>
      <w:r>
        <w:rPr>
          <w:rStyle w:val="ac"/>
          <w:rFonts w:cs="David"/>
          <w:sz w:val="24"/>
          <w:szCs w:val="24"/>
          <w:rtl/>
        </w:rPr>
        <w:footnoteReference w:id="28"/>
      </w:r>
      <w:r w:rsidR="00C74AB9" w:rsidRPr="00D629E4">
        <w:rPr>
          <w:rFonts w:cs="David"/>
          <w:sz w:val="24"/>
          <w:szCs w:val="24"/>
          <w:rtl/>
        </w:rPr>
        <w:t xml:space="preserve"> </w:t>
      </w:r>
      <w:r>
        <w:rPr>
          <w:rFonts w:cs="David" w:hint="cs"/>
          <w:sz w:val="24"/>
          <w:szCs w:val="24"/>
          <w:rtl/>
        </w:rPr>
        <w:t>הורה בית המשפט על</w:t>
      </w:r>
      <w:r w:rsidR="00C74AB9" w:rsidRPr="00D629E4">
        <w:rPr>
          <w:rFonts w:cs="David"/>
          <w:sz w:val="24"/>
          <w:szCs w:val="24"/>
          <w:rtl/>
        </w:rPr>
        <w:t xml:space="preserve"> </w:t>
      </w:r>
      <w:r w:rsidR="00C74AB9" w:rsidRPr="00D629E4">
        <w:rPr>
          <w:rFonts w:cs="David" w:hint="cs"/>
          <w:sz w:val="24"/>
          <w:szCs w:val="24"/>
          <w:rtl/>
        </w:rPr>
        <w:t>חסימה</w:t>
      </w:r>
      <w:r w:rsidR="00C74AB9" w:rsidRPr="00D629E4">
        <w:rPr>
          <w:rFonts w:cs="David"/>
          <w:sz w:val="24"/>
          <w:szCs w:val="24"/>
          <w:rtl/>
        </w:rPr>
        <w:t xml:space="preserve"> </w:t>
      </w:r>
      <w:r w:rsidR="00C74AB9" w:rsidRPr="00D629E4">
        <w:rPr>
          <w:rFonts w:cs="David" w:hint="cs"/>
          <w:sz w:val="24"/>
          <w:szCs w:val="24"/>
          <w:rtl/>
        </w:rPr>
        <w:t>זמנית</w:t>
      </w:r>
      <w:r w:rsidR="00C74AB9" w:rsidRPr="00D629E4">
        <w:rPr>
          <w:rFonts w:cs="David"/>
          <w:sz w:val="24"/>
          <w:szCs w:val="24"/>
          <w:rtl/>
        </w:rPr>
        <w:t xml:space="preserve"> </w:t>
      </w:r>
      <w:r w:rsidR="00C74AB9" w:rsidRPr="00D629E4">
        <w:rPr>
          <w:rFonts w:cs="David" w:hint="cs"/>
          <w:sz w:val="24"/>
          <w:szCs w:val="24"/>
          <w:rtl/>
        </w:rPr>
        <w:t>וממוקדת</w:t>
      </w:r>
      <w:r>
        <w:rPr>
          <w:rFonts w:cs="David" w:hint="cs"/>
          <w:sz w:val="24"/>
          <w:szCs w:val="24"/>
          <w:rtl/>
        </w:rPr>
        <w:t xml:space="preserve"> של </w:t>
      </w:r>
      <w:r w:rsidR="00195326">
        <w:rPr>
          <w:rFonts w:cs="David" w:hint="cs"/>
          <w:sz w:val="24"/>
          <w:szCs w:val="24"/>
          <w:rtl/>
        </w:rPr>
        <w:t xml:space="preserve">כתובות </w:t>
      </w:r>
      <w:r w:rsidR="00195326">
        <w:rPr>
          <w:rFonts w:cs="David"/>
          <w:sz w:val="24"/>
          <w:szCs w:val="24"/>
        </w:rPr>
        <w:t>IP</w:t>
      </w:r>
      <w:r w:rsidR="00195326">
        <w:rPr>
          <w:rFonts w:cs="David" w:hint="cs"/>
          <w:sz w:val="24"/>
          <w:szCs w:val="24"/>
          <w:rtl/>
        </w:rPr>
        <w:t xml:space="preserve"> של שרתי הזרמת תכנים (</w:t>
      </w:r>
      <w:r w:rsidR="00195326" w:rsidRPr="001466FF">
        <w:rPr>
          <w:lang w:val="en-GB"/>
        </w:rPr>
        <w:t>streaming servers</w:t>
      </w:r>
      <w:r w:rsidR="00195326">
        <w:rPr>
          <w:rFonts w:cs="David" w:hint="cs"/>
          <w:sz w:val="24"/>
          <w:szCs w:val="24"/>
          <w:rtl/>
        </w:rPr>
        <w:t xml:space="preserve">) המשמשים להזרמה של שידורים חיים של משחקי ספורט, במהלך המשחקים בלבד ולאורך העונה הרלוונטית (18.3.2017-22.5.2017). </w:t>
      </w:r>
      <w:r w:rsidR="00195326" w:rsidRPr="00195326">
        <w:rPr>
          <w:rFonts w:cs="David" w:hint="cs"/>
          <w:sz w:val="24"/>
          <w:szCs w:val="24"/>
          <w:rtl/>
        </w:rPr>
        <w:t>רשימת</w:t>
      </w:r>
      <w:r w:rsidR="00195326" w:rsidRPr="00195326">
        <w:rPr>
          <w:rFonts w:cs="David"/>
          <w:sz w:val="24"/>
          <w:szCs w:val="24"/>
          <w:rtl/>
        </w:rPr>
        <w:t xml:space="preserve"> </w:t>
      </w:r>
      <w:r w:rsidR="00195326" w:rsidRPr="00195326">
        <w:rPr>
          <w:rFonts w:cs="David" w:hint="cs"/>
          <w:sz w:val="24"/>
          <w:szCs w:val="24"/>
          <w:rtl/>
        </w:rPr>
        <w:t>שרתי</w:t>
      </w:r>
      <w:r w:rsidR="00195326" w:rsidRPr="00195326">
        <w:rPr>
          <w:rFonts w:cs="David"/>
          <w:sz w:val="24"/>
          <w:szCs w:val="24"/>
          <w:rtl/>
        </w:rPr>
        <w:t xml:space="preserve"> </w:t>
      </w:r>
      <w:r w:rsidR="00195326">
        <w:rPr>
          <w:rFonts w:cs="David" w:hint="cs"/>
          <w:sz w:val="24"/>
          <w:szCs w:val="24"/>
          <w:rtl/>
        </w:rPr>
        <w:t>המטרה</w:t>
      </w:r>
      <w:r w:rsidR="00195326" w:rsidRPr="00195326">
        <w:rPr>
          <w:rFonts w:cs="David"/>
          <w:sz w:val="24"/>
          <w:szCs w:val="24"/>
          <w:rtl/>
        </w:rPr>
        <w:t xml:space="preserve"> </w:t>
      </w:r>
      <w:r w:rsidR="00195326">
        <w:rPr>
          <w:rFonts w:cs="David" w:hint="cs"/>
          <w:sz w:val="24"/>
          <w:szCs w:val="24"/>
          <w:rtl/>
        </w:rPr>
        <w:t>מתעדכנת</w:t>
      </w:r>
      <w:r w:rsidR="00195326" w:rsidRPr="00195326">
        <w:rPr>
          <w:rFonts w:cs="David"/>
          <w:sz w:val="24"/>
          <w:szCs w:val="24"/>
          <w:rtl/>
        </w:rPr>
        <w:t xml:space="preserve"> </w:t>
      </w:r>
      <w:r w:rsidR="00195326" w:rsidRPr="00195326">
        <w:rPr>
          <w:rFonts w:cs="David" w:hint="cs"/>
          <w:sz w:val="24"/>
          <w:szCs w:val="24"/>
          <w:rtl/>
        </w:rPr>
        <w:t>מדי</w:t>
      </w:r>
      <w:r w:rsidR="00195326" w:rsidRPr="00195326">
        <w:rPr>
          <w:rFonts w:cs="David"/>
          <w:sz w:val="24"/>
          <w:szCs w:val="24"/>
          <w:rtl/>
        </w:rPr>
        <w:t xml:space="preserve"> </w:t>
      </w:r>
      <w:r w:rsidR="00195326" w:rsidRPr="00195326">
        <w:rPr>
          <w:rFonts w:cs="David" w:hint="cs"/>
          <w:sz w:val="24"/>
          <w:szCs w:val="24"/>
          <w:rtl/>
        </w:rPr>
        <w:t>שבוע</w:t>
      </w:r>
      <w:r w:rsidR="00195326" w:rsidRPr="00195326">
        <w:rPr>
          <w:rFonts w:cs="David"/>
          <w:sz w:val="24"/>
          <w:szCs w:val="24"/>
          <w:rtl/>
        </w:rPr>
        <w:t xml:space="preserve">, </w:t>
      </w:r>
      <w:r w:rsidR="00195326" w:rsidRPr="00195326">
        <w:rPr>
          <w:rFonts w:cs="David" w:hint="cs"/>
          <w:sz w:val="24"/>
          <w:szCs w:val="24"/>
          <w:rtl/>
        </w:rPr>
        <w:t>וניתן</w:t>
      </w:r>
      <w:r w:rsidR="00195326" w:rsidRPr="00195326">
        <w:rPr>
          <w:rFonts w:cs="David"/>
          <w:sz w:val="24"/>
          <w:szCs w:val="24"/>
          <w:rtl/>
        </w:rPr>
        <w:t xml:space="preserve"> </w:t>
      </w:r>
      <w:r w:rsidR="00195326" w:rsidRPr="00195326">
        <w:rPr>
          <w:rFonts w:cs="David" w:hint="cs"/>
          <w:sz w:val="24"/>
          <w:szCs w:val="24"/>
          <w:rtl/>
        </w:rPr>
        <w:t>לעדכן</w:t>
      </w:r>
      <w:r w:rsidR="00195326" w:rsidRPr="00195326">
        <w:rPr>
          <w:rFonts w:cs="David"/>
          <w:sz w:val="24"/>
          <w:szCs w:val="24"/>
          <w:rtl/>
        </w:rPr>
        <w:t xml:space="preserve"> </w:t>
      </w:r>
      <w:r w:rsidR="00195326" w:rsidRPr="00195326">
        <w:rPr>
          <w:rFonts w:cs="David" w:hint="cs"/>
          <w:sz w:val="24"/>
          <w:szCs w:val="24"/>
          <w:rtl/>
        </w:rPr>
        <w:t>אותה</w:t>
      </w:r>
      <w:r w:rsidR="00195326" w:rsidRPr="00195326">
        <w:rPr>
          <w:rFonts w:cs="David"/>
          <w:sz w:val="24"/>
          <w:szCs w:val="24"/>
          <w:rtl/>
        </w:rPr>
        <w:t xml:space="preserve"> </w:t>
      </w:r>
      <w:r w:rsidR="00195326" w:rsidRPr="00195326">
        <w:rPr>
          <w:rFonts w:cs="David" w:hint="cs"/>
          <w:sz w:val="24"/>
          <w:szCs w:val="24"/>
          <w:rtl/>
        </w:rPr>
        <w:t>בתדירות</w:t>
      </w:r>
      <w:r w:rsidR="00195326" w:rsidRPr="00195326">
        <w:rPr>
          <w:rFonts w:cs="David"/>
          <w:sz w:val="24"/>
          <w:szCs w:val="24"/>
          <w:rtl/>
        </w:rPr>
        <w:t xml:space="preserve"> </w:t>
      </w:r>
      <w:r w:rsidR="00195326" w:rsidRPr="00195326">
        <w:rPr>
          <w:rFonts w:cs="David" w:hint="cs"/>
          <w:sz w:val="24"/>
          <w:szCs w:val="24"/>
          <w:rtl/>
        </w:rPr>
        <w:t>גבוהה</w:t>
      </w:r>
      <w:r w:rsidR="00195326" w:rsidRPr="00195326">
        <w:rPr>
          <w:rFonts w:cs="David"/>
          <w:sz w:val="24"/>
          <w:szCs w:val="24"/>
          <w:rtl/>
        </w:rPr>
        <w:t xml:space="preserve"> </w:t>
      </w:r>
      <w:r w:rsidR="00195326" w:rsidRPr="00195326">
        <w:rPr>
          <w:rFonts w:cs="David" w:hint="cs"/>
          <w:sz w:val="24"/>
          <w:szCs w:val="24"/>
          <w:rtl/>
        </w:rPr>
        <w:t>יותר</w:t>
      </w:r>
      <w:r w:rsidR="00195326" w:rsidRPr="00195326">
        <w:rPr>
          <w:rFonts w:cs="David"/>
          <w:sz w:val="24"/>
          <w:szCs w:val="24"/>
          <w:rtl/>
        </w:rPr>
        <w:t xml:space="preserve"> </w:t>
      </w:r>
      <w:r w:rsidR="00195326" w:rsidRPr="00195326">
        <w:rPr>
          <w:rFonts w:cs="David" w:hint="cs"/>
          <w:sz w:val="24"/>
          <w:szCs w:val="24"/>
          <w:rtl/>
        </w:rPr>
        <w:t>במידת</w:t>
      </w:r>
      <w:r w:rsidR="00195326" w:rsidRPr="00195326">
        <w:rPr>
          <w:rFonts w:cs="David"/>
          <w:sz w:val="24"/>
          <w:szCs w:val="24"/>
          <w:rtl/>
        </w:rPr>
        <w:t xml:space="preserve"> </w:t>
      </w:r>
      <w:r w:rsidR="00195326" w:rsidRPr="00195326">
        <w:rPr>
          <w:rFonts w:cs="David" w:hint="cs"/>
          <w:sz w:val="24"/>
          <w:szCs w:val="24"/>
          <w:rtl/>
        </w:rPr>
        <w:t>הצורך</w:t>
      </w:r>
      <w:r w:rsidR="00195326" w:rsidRPr="00195326">
        <w:rPr>
          <w:rFonts w:cs="David"/>
          <w:sz w:val="24"/>
          <w:szCs w:val="24"/>
          <w:rtl/>
        </w:rPr>
        <w:t>.</w:t>
      </w:r>
      <w:r w:rsidR="00195326">
        <w:rPr>
          <w:rFonts w:cs="David" w:hint="cs"/>
          <w:sz w:val="24"/>
          <w:szCs w:val="24"/>
          <w:rtl/>
        </w:rPr>
        <w:t xml:space="preserve"> ישנה חובה לעדכן את ספקי שירותי האירוח של שרתי</w:t>
      </w:r>
      <w:r w:rsidR="009E5D05">
        <w:rPr>
          <w:rFonts w:cs="David" w:hint="cs"/>
          <w:sz w:val="24"/>
          <w:szCs w:val="24"/>
          <w:rtl/>
        </w:rPr>
        <w:t xml:space="preserve"> המטרה</w:t>
      </w:r>
      <w:r w:rsidR="00195326">
        <w:rPr>
          <w:rFonts w:cs="David" w:hint="cs"/>
          <w:sz w:val="24"/>
          <w:szCs w:val="24"/>
          <w:rtl/>
        </w:rPr>
        <w:t xml:space="preserve"> אלה, </w:t>
      </w:r>
      <w:r w:rsidR="00195326" w:rsidRPr="00696A8F">
        <w:rPr>
          <w:rFonts w:cs="David" w:hint="cs"/>
          <w:sz w:val="24"/>
          <w:szCs w:val="24"/>
          <w:rtl/>
        </w:rPr>
        <w:t xml:space="preserve">כך שיוכלו </w:t>
      </w:r>
      <w:r w:rsidR="00A01EEC" w:rsidRPr="00696A8F">
        <w:rPr>
          <w:rFonts w:cs="David" w:hint="cs"/>
          <w:sz w:val="24"/>
          <w:szCs w:val="24"/>
          <w:rtl/>
        </w:rPr>
        <w:t>לבקש ביטול של הצו</w:t>
      </w:r>
      <w:r w:rsidR="00195326">
        <w:rPr>
          <w:rFonts w:cs="David" w:hint="cs"/>
          <w:sz w:val="24"/>
          <w:szCs w:val="24"/>
          <w:rtl/>
        </w:rPr>
        <w:t>.</w:t>
      </w:r>
      <w:r w:rsidR="00DA0AD8">
        <w:rPr>
          <w:rFonts w:cs="David" w:hint="cs"/>
          <w:sz w:val="24"/>
          <w:szCs w:val="24"/>
          <w:rtl/>
        </w:rPr>
        <w:t xml:space="preserve"> בפסק </w:t>
      </w:r>
      <w:r w:rsidR="004F2B7B">
        <w:rPr>
          <w:rFonts w:cs="David" w:hint="cs"/>
          <w:sz w:val="24"/>
          <w:szCs w:val="24"/>
          <w:rtl/>
        </w:rPr>
        <w:t xml:space="preserve">דין שניתן בדצמבר 2017 לעניין משחקי הכדורגל של </w:t>
      </w:r>
      <w:r w:rsidR="004F2B7B">
        <w:rPr>
          <w:rFonts w:cs="David"/>
          <w:sz w:val="24"/>
          <w:szCs w:val="24"/>
        </w:rPr>
        <w:t>UEFA</w:t>
      </w:r>
      <w:r w:rsidR="004F2B7B">
        <w:rPr>
          <w:rFonts w:cs="David" w:hint="cs"/>
          <w:sz w:val="24"/>
          <w:szCs w:val="24"/>
          <w:rtl/>
        </w:rPr>
        <w:t xml:space="preserve"> בעונת 2018, </w:t>
      </w:r>
      <w:r w:rsidR="00DA0AD8">
        <w:rPr>
          <w:rFonts w:cs="David" w:hint="cs"/>
          <w:sz w:val="24"/>
          <w:szCs w:val="24"/>
          <w:rtl/>
        </w:rPr>
        <w:t xml:space="preserve">ציין בית המשפט כי הוצגו בפניו ראיות ליעילות הצו </w:t>
      </w:r>
      <w:r w:rsidR="004F2B7B">
        <w:rPr>
          <w:rFonts w:cs="David" w:hint="cs"/>
          <w:sz w:val="24"/>
          <w:szCs w:val="24"/>
          <w:rtl/>
        </w:rPr>
        <w:t>שניתן בעניין הפרמייר ליג</w:t>
      </w:r>
      <w:r w:rsidR="00DA0AD8">
        <w:rPr>
          <w:rFonts w:cs="David" w:hint="cs"/>
          <w:sz w:val="24"/>
          <w:szCs w:val="24"/>
          <w:rtl/>
        </w:rPr>
        <w:t>, למניעת הגישה לשרתי המטרה</w:t>
      </w:r>
      <w:r w:rsidR="004F2B7B">
        <w:rPr>
          <w:rFonts w:cs="David" w:hint="cs"/>
          <w:sz w:val="24"/>
          <w:szCs w:val="24"/>
          <w:rtl/>
        </w:rPr>
        <w:t>,</w:t>
      </w:r>
      <w:r w:rsidR="00DA0AD8">
        <w:rPr>
          <w:rFonts w:cs="David" w:hint="cs"/>
          <w:sz w:val="24"/>
          <w:szCs w:val="24"/>
          <w:rtl/>
        </w:rPr>
        <w:t xml:space="preserve"> ולא נמצאו ראיות לחסימת יתר.</w:t>
      </w:r>
      <w:r w:rsidR="00DA0AD8">
        <w:rPr>
          <w:rStyle w:val="ac"/>
          <w:rFonts w:cs="David"/>
          <w:sz w:val="24"/>
          <w:szCs w:val="24"/>
          <w:rtl/>
        </w:rPr>
        <w:footnoteReference w:id="29"/>
      </w:r>
    </w:p>
    <w:p w:rsidR="00DA0AD8" w:rsidRDefault="00DA0AD8" w:rsidP="00D74DB8">
      <w:pPr>
        <w:spacing w:afterLines="120" w:after="288" w:line="360" w:lineRule="auto"/>
        <w:contextualSpacing/>
        <w:jc w:val="both"/>
        <w:rPr>
          <w:rFonts w:cs="David"/>
          <w:sz w:val="24"/>
          <w:szCs w:val="24"/>
          <w:rtl/>
        </w:rPr>
      </w:pPr>
    </w:p>
    <w:p w:rsidR="0033573A" w:rsidRDefault="007B6A5D" w:rsidP="009E5D05">
      <w:pPr>
        <w:spacing w:afterLines="120" w:after="288" w:line="360" w:lineRule="auto"/>
        <w:contextualSpacing/>
        <w:jc w:val="both"/>
        <w:rPr>
          <w:rFonts w:cs="David"/>
          <w:sz w:val="24"/>
          <w:szCs w:val="24"/>
          <w:rtl/>
        </w:rPr>
      </w:pPr>
      <w:r>
        <w:rPr>
          <w:rFonts w:cs="David" w:hint="cs"/>
          <w:sz w:val="24"/>
          <w:szCs w:val="24"/>
          <w:rtl/>
        </w:rPr>
        <w:t xml:space="preserve">בנוסף, להחלטות המיישמות את סעיף </w:t>
      </w:r>
      <w:r>
        <w:rPr>
          <w:rFonts w:cs="David"/>
          <w:sz w:val="24"/>
          <w:szCs w:val="24"/>
        </w:rPr>
        <w:t>A</w:t>
      </w:r>
      <w:r>
        <w:rPr>
          <w:rFonts w:cs="David" w:hint="cs"/>
          <w:sz w:val="24"/>
          <w:szCs w:val="24"/>
          <w:rtl/>
        </w:rPr>
        <w:t>97 לחוק זכות יוצרים האנגלי, נקבע בפסיקה האנגלית בעניין</w:t>
      </w:r>
      <w:r w:rsidR="00195326">
        <w:rPr>
          <w:rFonts w:cs="David" w:hint="cs"/>
          <w:sz w:val="24"/>
          <w:szCs w:val="24"/>
          <w:rtl/>
        </w:rPr>
        <w:t xml:space="preserve"> </w:t>
      </w:r>
      <w:r w:rsidR="00195326" w:rsidRPr="00195326">
        <w:rPr>
          <w:rFonts w:cs="David" w:hint="cs"/>
          <w:b/>
          <w:bCs/>
          <w:sz w:val="24"/>
          <w:szCs w:val="24"/>
          <w:rtl/>
        </w:rPr>
        <w:t>קרטייה</w:t>
      </w:r>
      <w:r>
        <w:rPr>
          <w:rFonts w:cs="David" w:hint="cs"/>
          <w:sz w:val="24"/>
          <w:szCs w:val="24"/>
          <w:rtl/>
        </w:rPr>
        <w:t>,</w:t>
      </w:r>
      <w:r w:rsidR="00195326">
        <w:rPr>
          <w:rStyle w:val="ac"/>
          <w:rFonts w:cs="David"/>
          <w:sz w:val="24"/>
          <w:szCs w:val="24"/>
          <w:rtl/>
        </w:rPr>
        <w:footnoteReference w:id="30"/>
      </w:r>
      <w:r>
        <w:rPr>
          <w:rFonts w:cs="David" w:hint="cs"/>
          <w:sz w:val="24"/>
          <w:szCs w:val="24"/>
          <w:rtl/>
        </w:rPr>
        <w:t xml:space="preserve"> כי לבית המשפט סמכות ליתן צווי חסימה לאתרים המפרים זכויות קניין רוחני אחרות על אף שסמכות זו לא </w:t>
      </w:r>
      <w:r w:rsidR="008D7393">
        <w:rPr>
          <w:rFonts w:cs="David" w:hint="cs"/>
          <w:sz w:val="24"/>
          <w:szCs w:val="24"/>
          <w:rtl/>
        </w:rPr>
        <w:t>עוגנה</w:t>
      </w:r>
      <w:r>
        <w:rPr>
          <w:rFonts w:cs="David" w:hint="cs"/>
          <w:sz w:val="24"/>
          <w:szCs w:val="24"/>
          <w:rtl/>
        </w:rPr>
        <w:t xml:space="preserve"> בחקיקה האנגלית. באותו מקרה, הורה בית המשפט על חסימת הגישה לאתר</w:t>
      </w:r>
      <w:r w:rsidR="00A92F54">
        <w:rPr>
          <w:rFonts w:cs="David" w:hint="cs"/>
          <w:sz w:val="24"/>
          <w:szCs w:val="24"/>
          <w:rtl/>
        </w:rPr>
        <w:t>ים שמפרסמים או מוכרי</w:t>
      </w:r>
      <w:r w:rsidR="00A92F54" w:rsidRPr="00A92F54">
        <w:rPr>
          <w:rFonts w:cs="David" w:hint="cs"/>
          <w:sz w:val="24"/>
          <w:szCs w:val="24"/>
          <w:rtl/>
        </w:rPr>
        <w:t xml:space="preserve">ם </w:t>
      </w:r>
      <w:r w:rsidRPr="00A92F54">
        <w:rPr>
          <w:rFonts w:cs="David" w:hint="cs"/>
          <w:sz w:val="24"/>
          <w:szCs w:val="24"/>
          <w:rtl/>
        </w:rPr>
        <w:t xml:space="preserve">מוצרים </w:t>
      </w:r>
      <w:r w:rsidR="00A92F54" w:rsidRPr="00A92F54">
        <w:rPr>
          <w:rFonts w:cs="David" w:hint="cs"/>
          <w:sz w:val="24"/>
          <w:szCs w:val="24"/>
          <w:rtl/>
        </w:rPr>
        <w:t xml:space="preserve">מזויפים </w:t>
      </w:r>
      <w:r w:rsidRPr="00A92F54">
        <w:rPr>
          <w:rFonts w:cs="David" w:hint="cs"/>
          <w:sz w:val="24"/>
          <w:szCs w:val="24"/>
          <w:rtl/>
        </w:rPr>
        <w:t>המפרים את דיני סימני מסחר.</w:t>
      </w:r>
    </w:p>
    <w:p w:rsidR="00FF4538" w:rsidRPr="00FF4538" w:rsidRDefault="00FF4538" w:rsidP="00FF4538">
      <w:pPr>
        <w:spacing w:afterLines="120" w:after="288" w:line="360" w:lineRule="auto"/>
        <w:contextualSpacing/>
        <w:jc w:val="both"/>
        <w:rPr>
          <w:rFonts w:cs="David"/>
          <w:sz w:val="24"/>
          <w:szCs w:val="24"/>
        </w:rPr>
      </w:pPr>
      <w:r w:rsidRPr="00FF4538">
        <w:rPr>
          <w:rFonts w:cs="David" w:hint="cs"/>
          <w:sz w:val="24"/>
          <w:szCs w:val="24"/>
          <w:rtl/>
        </w:rPr>
        <w:t xml:space="preserve">תנאי הסף למתן צו חסימה הם: על המשיב להיות </w:t>
      </w:r>
      <w:r>
        <w:rPr>
          <w:rFonts w:cs="David" w:hint="cs"/>
          <w:sz w:val="24"/>
          <w:szCs w:val="24"/>
          <w:rtl/>
        </w:rPr>
        <w:t xml:space="preserve">גורם ביניים; </w:t>
      </w:r>
      <w:r w:rsidRPr="00FF4538">
        <w:rPr>
          <w:rFonts w:cs="David" w:hint="cs"/>
          <w:sz w:val="24"/>
          <w:szCs w:val="24"/>
          <w:rtl/>
        </w:rPr>
        <w:t xml:space="preserve">המפעיל או המשתמשים באתר מפרים את זכויות התובעים; </w:t>
      </w:r>
      <w:r>
        <w:rPr>
          <w:rFonts w:cs="David" w:hint="cs"/>
          <w:sz w:val="24"/>
          <w:szCs w:val="24"/>
          <w:rtl/>
        </w:rPr>
        <w:t xml:space="preserve">המפעיל או המשתמשים, משתמשים בשירותי המשיבים לצורך ההפרה; למשיב ישנה ידיעה בפועל על ההפרות, כאשר הידיעה עשויה לקום </w:t>
      </w:r>
      <w:r w:rsidR="001828E9">
        <w:rPr>
          <w:rFonts w:cs="David" w:hint="cs"/>
          <w:sz w:val="24"/>
          <w:szCs w:val="24"/>
          <w:rtl/>
        </w:rPr>
        <w:t>כ</w:t>
      </w:r>
      <w:r>
        <w:rPr>
          <w:rFonts w:cs="David" w:hint="cs"/>
          <w:sz w:val="24"/>
          <w:szCs w:val="24"/>
          <w:rtl/>
        </w:rPr>
        <w:t>תוצאה מהודעה מבעל הזכות.</w:t>
      </w:r>
      <w:r w:rsidRPr="00FF4538">
        <w:rPr>
          <w:rStyle w:val="ac"/>
          <w:rFonts w:ascii="Calibri" w:hAnsi="Calibri" w:cs="David"/>
          <w:rtl/>
        </w:rPr>
        <w:footnoteReference w:id="31"/>
      </w:r>
    </w:p>
    <w:p w:rsidR="00B81CB9" w:rsidRPr="008C16B8" w:rsidRDefault="00FF4538" w:rsidP="00F21E2C">
      <w:pPr>
        <w:spacing w:afterLines="120" w:after="288" w:line="360" w:lineRule="auto"/>
        <w:contextualSpacing/>
        <w:jc w:val="both"/>
        <w:rPr>
          <w:rFonts w:cs="David"/>
          <w:rtl/>
        </w:rPr>
      </w:pPr>
      <w:r>
        <w:rPr>
          <w:rFonts w:cs="David" w:hint="cs"/>
          <w:sz w:val="24"/>
          <w:szCs w:val="24"/>
          <w:rtl/>
        </w:rPr>
        <w:t xml:space="preserve">על מנת שהצו יינתן עליו להיות נחוץ </w:t>
      </w:r>
      <w:r w:rsidRPr="00AE0937">
        <w:rPr>
          <w:rFonts w:cs="David" w:hint="cs"/>
          <w:sz w:val="24"/>
          <w:szCs w:val="24"/>
          <w:rtl/>
        </w:rPr>
        <w:t>(</w:t>
      </w:r>
      <w:r w:rsidR="00C12391" w:rsidRPr="00AE0937">
        <w:rPr>
          <w:rFonts w:cs="David"/>
          <w:sz w:val="24"/>
          <w:szCs w:val="24"/>
        </w:rPr>
        <w:t>necessary</w:t>
      </w:r>
      <w:r w:rsidRPr="00AE0937">
        <w:rPr>
          <w:rFonts w:cs="David" w:hint="cs"/>
          <w:sz w:val="24"/>
          <w:szCs w:val="24"/>
          <w:rtl/>
        </w:rPr>
        <w:t>); יעיל (</w:t>
      </w:r>
      <w:r w:rsidR="00C12391" w:rsidRPr="00AE0937">
        <w:rPr>
          <w:rFonts w:cs="David"/>
          <w:sz w:val="24"/>
          <w:szCs w:val="24"/>
        </w:rPr>
        <w:t>effective</w:t>
      </w:r>
      <w:r w:rsidRPr="00AE0937">
        <w:rPr>
          <w:rFonts w:cs="David" w:hint="cs"/>
          <w:sz w:val="24"/>
          <w:szCs w:val="24"/>
          <w:rtl/>
        </w:rPr>
        <w:t>); מרתיע</w:t>
      </w:r>
      <w:r w:rsidR="004F46CB">
        <w:rPr>
          <w:rFonts w:cs="David" w:hint="cs"/>
          <w:sz w:val="24"/>
          <w:szCs w:val="24"/>
          <w:rtl/>
        </w:rPr>
        <w:t xml:space="preserve"> צדדים שלישיים</w:t>
      </w:r>
      <w:r w:rsidRPr="00AE0937">
        <w:rPr>
          <w:rFonts w:cs="David" w:hint="cs"/>
          <w:sz w:val="24"/>
          <w:szCs w:val="24"/>
          <w:rtl/>
        </w:rPr>
        <w:t xml:space="preserve"> (</w:t>
      </w:r>
      <w:r w:rsidR="00C12391" w:rsidRPr="00AE0937">
        <w:rPr>
          <w:rFonts w:cs="David"/>
          <w:sz w:val="24"/>
          <w:szCs w:val="24"/>
        </w:rPr>
        <w:t>dissuasive</w:t>
      </w:r>
      <w:r w:rsidRPr="00AE0937">
        <w:rPr>
          <w:rFonts w:cs="David" w:hint="cs"/>
          <w:sz w:val="24"/>
          <w:szCs w:val="24"/>
          <w:rtl/>
        </w:rPr>
        <w:t xml:space="preserve">); אינו מטיל הוצאות מופרזות או מורכב במידה </w:t>
      </w:r>
      <w:r w:rsidR="00343753">
        <w:rPr>
          <w:rFonts w:cs="David" w:hint="cs"/>
          <w:sz w:val="24"/>
          <w:szCs w:val="24"/>
          <w:rtl/>
        </w:rPr>
        <w:t xml:space="preserve">שאינה נדרשת; </w:t>
      </w:r>
      <w:r w:rsidRPr="00AE0937">
        <w:rPr>
          <w:rFonts w:cs="David" w:hint="cs"/>
          <w:sz w:val="24"/>
          <w:szCs w:val="24"/>
          <w:rtl/>
        </w:rPr>
        <w:t>אינו מטיל חסמים על מסחר לגיטימי</w:t>
      </w:r>
      <w:r w:rsidR="00343753">
        <w:rPr>
          <w:rFonts w:cs="David" w:hint="cs"/>
          <w:sz w:val="24"/>
          <w:szCs w:val="24"/>
          <w:rtl/>
        </w:rPr>
        <w:t>, כלומר שאינו משפיע על גיש</w:t>
      </w:r>
      <w:r w:rsidR="001828E9">
        <w:rPr>
          <w:rFonts w:cs="David" w:hint="cs"/>
          <w:sz w:val="24"/>
          <w:szCs w:val="24"/>
          <w:rtl/>
        </w:rPr>
        <w:t>ת</w:t>
      </w:r>
      <w:r w:rsidR="00343753">
        <w:rPr>
          <w:rFonts w:cs="David" w:hint="cs"/>
          <w:sz w:val="24"/>
          <w:szCs w:val="24"/>
          <w:rtl/>
        </w:rPr>
        <w:t xml:space="preserve">  המשתמשים לתוכן חוקי; </w:t>
      </w:r>
      <w:r w:rsidRPr="00AE0937">
        <w:rPr>
          <w:rFonts w:cs="David" w:hint="cs"/>
          <w:sz w:val="24"/>
          <w:szCs w:val="24"/>
          <w:rtl/>
        </w:rPr>
        <w:t>מאזן כראוי בין הזכויות הרלוונטיות</w:t>
      </w:r>
      <w:r w:rsidR="00B83140">
        <w:rPr>
          <w:rFonts w:cs="David" w:hint="cs"/>
          <w:sz w:val="24"/>
          <w:szCs w:val="24"/>
          <w:rtl/>
        </w:rPr>
        <w:t>;</w:t>
      </w:r>
      <w:r w:rsidRPr="00AE0937">
        <w:rPr>
          <w:rFonts w:cs="David" w:hint="cs"/>
          <w:sz w:val="24"/>
          <w:szCs w:val="24"/>
          <w:rtl/>
        </w:rPr>
        <w:t xml:space="preserve"> מידתי (</w:t>
      </w:r>
      <w:r w:rsidR="00C12391" w:rsidRPr="00AE0937">
        <w:rPr>
          <w:rFonts w:cs="David"/>
          <w:sz w:val="24"/>
          <w:szCs w:val="24"/>
        </w:rPr>
        <w:t>proportionate</w:t>
      </w:r>
      <w:r w:rsidR="00097639" w:rsidRPr="00AE0937">
        <w:rPr>
          <w:rFonts w:cs="David" w:hint="cs"/>
          <w:sz w:val="24"/>
          <w:szCs w:val="24"/>
          <w:rtl/>
        </w:rPr>
        <w:t>) ו</w:t>
      </w:r>
      <w:r w:rsidR="00641FC3">
        <w:rPr>
          <w:rFonts w:cs="David" w:hint="cs"/>
          <w:sz w:val="24"/>
          <w:szCs w:val="24"/>
          <w:rtl/>
        </w:rPr>
        <w:t>עליו לכלול</w:t>
      </w:r>
      <w:r w:rsidR="00097639" w:rsidRPr="00AE0937">
        <w:rPr>
          <w:rFonts w:cs="David" w:hint="cs"/>
          <w:sz w:val="24"/>
          <w:szCs w:val="24"/>
          <w:rtl/>
        </w:rPr>
        <w:t xml:space="preserve"> אמצעים למניעת ניצול לרעה (</w:t>
      </w:r>
      <w:r w:rsidR="00C12391" w:rsidRPr="00AE0937">
        <w:rPr>
          <w:rFonts w:cs="David"/>
          <w:sz w:val="24"/>
          <w:szCs w:val="24"/>
        </w:rPr>
        <w:t>safeguarded against abuse</w:t>
      </w:r>
      <w:r w:rsidR="00097639" w:rsidRPr="00AE0937">
        <w:rPr>
          <w:rFonts w:cs="David" w:hint="cs"/>
          <w:sz w:val="24"/>
          <w:szCs w:val="24"/>
          <w:rtl/>
        </w:rPr>
        <w:t>).</w:t>
      </w:r>
      <w:r w:rsidR="00AE0937" w:rsidRPr="00AE0937">
        <w:rPr>
          <w:rFonts w:cs="David" w:hint="cs"/>
          <w:sz w:val="24"/>
          <w:szCs w:val="24"/>
          <w:rtl/>
        </w:rPr>
        <w:t xml:space="preserve"> </w:t>
      </w:r>
    </w:p>
    <w:p w:rsidR="005813FB" w:rsidRDefault="001828E9" w:rsidP="001828E9">
      <w:pPr>
        <w:spacing w:afterLines="120" w:after="288" w:line="360" w:lineRule="auto"/>
        <w:contextualSpacing/>
        <w:jc w:val="both"/>
        <w:rPr>
          <w:rFonts w:cs="David"/>
          <w:sz w:val="24"/>
          <w:szCs w:val="24"/>
          <w:rtl/>
        </w:rPr>
      </w:pPr>
      <w:r>
        <w:rPr>
          <w:rFonts w:cs="David" w:hint="cs"/>
          <w:sz w:val="24"/>
          <w:szCs w:val="24"/>
          <w:rtl/>
        </w:rPr>
        <w:t xml:space="preserve">בנוסף, </w:t>
      </w:r>
      <w:r w:rsidR="008D47D0" w:rsidRPr="008C16B8">
        <w:rPr>
          <w:rFonts w:cs="David" w:hint="cs"/>
          <w:sz w:val="24"/>
          <w:szCs w:val="24"/>
          <w:rtl/>
        </w:rPr>
        <w:t>על בית המשפט לבחון האם קיימים אמצעים חלופיים זמינים</w:t>
      </w:r>
      <w:r w:rsidR="00C210FB">
        <w:rPr>
          <w:rFonts w:cs="David" w:hint="cs"/>
          <w:sz w:val="24"/>
          <w:szCs w:val="24"/>
          <w:rtl/>
        </w:rPr>
        <w:t>, פוגעניים</w:t>
      </w:r>
      <w:r w:rsidR="008D47D0" w:rsidRPr="008C16B8">
        <w:rPr>
          <w:rFonts w:cs="David" w:hint="cs"/>
          <w:sz w:val="24"/>
          <w:szCs w:val="24"/>
          <w:rtl/>
        </w:rPr>
        <w:t xml:space="preserve"> פחות.</w:t>
      </w:r>
      <w:r w:rsidR="008D47D0" w:rsidRPr="008C16B8">
        <w:rPr>
          <w:rStyle w:val="ac"/>
          <w:rFonts w:cs="David"/>
          <w:sz w:val="24"/>
          <w:szCs w:val="24"/>
          <w:rtl/>
        </w:rPr>
        <w:footnoteReference w:id="32"/>
      </w:r>
      <w:r w:rsidR="008D47D0" w:rsidRPr="008C16B8">
        <w:rPr>
          <w:rFonts w:cs="David" w:hint="cs"/>
          <w:sz w:val="24"/>
          <w:szCs w:val="24"/>
          <w:rtl/>
        </w:rPr>
        <w:t xml:space="preserve"> </w:t>
      </w:r>
      <w:r w:rsidR="00F21E2C">
        <w:rPr>
          <w:rFonts w:cs="David" w:hint="cs"/>
          <w:sz w:val="24"/>
          <w:szCs w:val="24"/>
          <w:rtl/>
        </w:rPr>
        <w:t>כך</w:t>
      </w:r>
      <w:r w:rsidR="00F21E2C" w:rsidRPr="008C16B8">
        <w:rPr>
          <w:rFonts w:cs="David" w:hint="cs"/>
          <w:sz w:val="24"/>
          <w:szCs w:val="24"/>
          <w:rtl/>
        </w:rPr>
        <w:t xml:space="preserve"> יש לבחון האם בעלי הזכויות ניסו</w:t>
      </w:r>
      <w:r>
        <w:rPr>
          <w:rFonts w:cs="David" w:hint="cs"/>
          <w:sz w:val="24"/>
          <w:szCs w:val="24"/>
          <w:rtl/>
        </w:rPr>
        <w:t xml:space="preserve"> למנוע את ההפרה ב</w:t>
      </w:r>
      <w:r w:rsidR="00F21E2C" w:rsidRPr="008C16B8">
        <w:rPr>
          <w:rFonts w:cs="David" w:hint="cs"/>
          <w:sz w:val="24"/>
          <w:szCs w:val="24"/>
          <w:rtl/>
        </w:rPr>
        <w:t xml:space="preserve">דרכים חלופיות לפני שביקשו את הצו לחסימת </w:t>
      </w:r>
      <w:r w:rsidR="00F21E2C" w:rsidRPr="008C16B8">
        <w:rPr>
          <w:rFonts w:cs="David" w:hint="cs"/>
          <w:sz w:val="24"/>
          <w:szCs w:val="24"/>
          <w:rtl/>
        </w:rPr>
        <w:lastRenderedPageBreak/>
        <w:t>האתר. במקרה דנן, ציין השופט כי לאחר בחינה של האמצעים החלופיים האפשריים הוא מצא כי אין אמצעים חלופיים</w:t>
      </w:r>
      <w:r>
        <w:rPr>
          <w:rFonts w:cs="David" w:hint="cs"/>
          <w:sz w:val="24"/>
          <w:szCs w:val="24"/>
          <w:rtl/>
        </w:rPr>
        <w:t xml:space="preserve"> אשר יהיו אפקטיביים באותה מידה כמו</w:t>
      </w:r>
      <w:r w:rsidR="00F21E2C" w:rsidRPr="008C16B8">
        <w:rPr>
          <w:rFonts w:cs="David" w:hint="cs"/>
          <w:sz w:val="24"/>
          <w:szCs w:val="24"/>
          <w:rtl/>
        </w:rPr>
        <w:t xml:space="preserve"> צווי החסימה.</w:t>
      </w:r>
      <w:r w:rsidR="00F21E2C" w:rsidRPr="008C16B8">
        <w:rPr>
          <w:rStyle w:val="ac"/>
          <w:rFonts w:cs="David"/>
          <w:sz w:val="24"/>
          <w:szCs w:val="24"/>
          <w:rtl/>
        </w:rPr>
        <w:footnoteReference w:id="33"/>
      </w:r>
      <w:r w:rsidR="00F21E2C">
        <w:rPr>
          <w:rFonts w:cs="David" w:hint="cs"/>
          <w:sz w:val="24"/>
          <w:szCs w:val="24"/>
          <w:rtl/>
        </w:rPr>
        <w:t xml:space="preserve"> </w:t>
      </w:r>
      <w:r>
        <w:rPr>
          <w:rFonts w:cs="David" w:hint="cs"/>
          <w:sz w:val="24"/>
          <w:szCs w:val="24"/>
          <w:rtl/>
        </w:rPr>
        <w:t xml:space="preserve">על פי בית המשפט, </w:t>
      </w:r>
      <w:r w:rsidR="008D47D0" w:rsidRPr="008C16B8">
        <w:rPr>
          <w:rFonts w:cs="David" w:hint="cs"/>
          <w:sz w:val="24"/>
          <w:szCs w:val="24"/>
          <w:rtl/>
        </w:rPr>
        <w:t>אין צורך להראות כי צווי החסימה יפחיתו בצורה משמעותית את הפרות הקניין הרוחני</w:t>
      </w:r>
      <w:r w:rsidR="008D47D0" w:rsidRPr="008C16B8">
        <w:rPr>
          <w:rStyle w:val="ac"/>
          <w:rFonts w:cs="David"/>
          <w:sz w:val="24"/>
          <w:szCs w:val="24"/>
          <w:rtl/>
        </w:rPr>
        <w:footnoteReference w:id="34"/>
      </w:r>
      <w:r w:rsidR="001C2229">
        <w:rPr>
          <w:rFonts w:cs="David" w:hint="cs"/>
          <w:sz w:val="24"/>
          <w:szCs w:val="24"/>
          <w:rtl/>
        </w:rPr>
        <w:t xml:space="preserve"> אך צוין </w:t>
      </w:r>
      <w:r w:rsidR="008D47D0" w:rsidRPr="008C16B8">
        <w:rPr>
          <w:rFonts w:cs="David" w:hint="cs"/>
          <w:sz w:val="24"/>
          <w:szCs w:val="24"/>
          <w:rtl/>
        </w:rPr>
        <w:t xml:space="preserve">כי אם קיימים אתרים </w:t>
      </w:r>
      <w:r>
        <w:rPr>
          <w:rFonts w:cs="David" w:hint="cs"/>
          <w:sz w:val="24"/>
          <w:szCs w:val="24"/>
          <w:rtl/>
        </w:rPr>
        <w:t xml:space="preserve">חלופיים </w:t>
      </w:r>
      <w:r w:rsidR="008D47D0" w:rsidRPr="008C16B8">
        <w:rPr>
          <w:rFonts w:cs="David" w:hint="cs"/>
          <w:sz w:val="24"/>
          <w:szCs w:val="24"/>
          <w:rtl/>
        </w:rPr>
        <w:t>רבים אשר מפ</w:t>
      </w:r>
      <w:r w:rsidR="0052560A">
        <w:rPr>
          <w:rFonts w:cs="David" w:hint="cs"/>
          <w:sz w:val="24"/>
          <w:szCs w:val="24"/>
          <w:rtl/>
        </w:rPr>
        <w:t>רים את הזכויות ו</w:t>
      </w:r>
      <w:r w:rsidR="008D47D0" w:rsidRPr="008C16B8">
        <w:rPr>
          <w:rFonts w:cs="David" w:hint="cs"/>
          <w:sz w:val="24"/>
          <w:szCs w:val="24"/>
          <w:rtl/>
        </w:rPr>
        <w:t xml:space="preserve">נגישים למשתמשים באותה מידה כמו האתר אותו מעוניינים לחסום, </w:t>
      </w:r>
      <w:r w:rsidR="00606A80">
        <w:rPr>
          <w:rFonts w:cs="David" w:hint="cs"/>
          <w:sz w:val="24"/>
          <w:szCs w:val="24"/>
          <w:rtl/>
        </w:rPr>
        <w:t xml:space="preserve">הדבר </w:t>
      </w:r>
      <w:r>
        <w:rPr>
          <w:rFonts w:cs="David" w:hint="cs"/>
          <w:sz w:val="24"/>
          <w:szCs w:val="24"/>
          <w:rtl/>
        </w:rPr>
        <w:t>י</w:t>
      </w:r>
      <w:r w:rsidR="00606A80">
        <w:rPr>
          <w:rFonts w:cs="David" w:hint="cs"/>
          <w:sz w:val="24"/>
          <w:szCs w:val="24"/>
          <w:rtl/>
        </w:rPr>
        <w:t>שפיע על ניתוח המידתיות</w:t>
      </w:r>
      <w:r w:rsidR="00C210FB">
        <w:rPr>
          <w:rFonts w:cs="David" w:hint="cs"/>
          <w:sz w:val="24"/>
          <w:szCs w:val="24"/>
          <w:rtl/>
        </w:rPr>
        <w:t>.</w:t>
      </w:r>
      <w:r w:rsidR="008D47D0" w:rsidRPr="008C16B8">
        <w:rPr>
          <w:rStyle w:val="ac"/>
          <w:rFonts w:cs="David"/>
          <w:sz w:val="24"/>
          <w:szCs w:val="24"/>
          <w:rtl/>
        </w:rPr>
        <w:footnoteReference w:id="35"/>
      </w:r>
      <w:r w:rsidR="008D47D0" w:rsidRPr="008C16B8">
        <w:rPr>
          <w:rFonts w:cs="David" w:hint="cs"/>
          <w:sz w:val="24"/>
          <w:szCs w:val="24"/>
          <w:rtl/>
        </w:rPr>
        <w:t xml:space="preserve"> </w:t>
      </w:r>
      <w:r w:rsidR="008C16B8" w:rsidRPr="008C16B8">
        <w:rPr>
          <w:rFonts w:cs="David" w:hint="cs"/>
          <w:sz w:val="24"/>
          <w:szCs w:val="24"/>
          <w:rtl/>
        </w:rPr>
        <w:t>כמו כן, יעילות  צו החסימה במניעת כניסה לאתר המפר היא גורם חשוב בבחינ</w:t>
      </w:r>
      <w:r>
        <w:rPr>
          <w:rFonts w:cs="David" w:hint="cs"/>
          <w:sz w:val="24"/>
          <w:szCs w:val="24"/>
          <w:rtl/>
        </w:rPr>
        <w:t>ת</w:t>
      </w:r>
      <w:r w:rsidR="008C16B8" w:rsidRPr="008C16B8">
        <w:rPr>
          <w:rFonts w:cs="David" w:hint="cs"/>
          <w:sz w:val="24"/>
          <w:szCs w:val="24"/>
          <w:rtl/>
        </w:rPr>
        <w:t xml:space="preserve"> המידתיות של הצו, כלומר, במסגרת בחינ</w:t>
      </w:r>
      <w:r>
        <w:rPr>
          <w:rFonts w:cs="David" w:hint="cs"/>
          <w:sz w:val="24"/>
          <w:szCs w:val="24"/>
          <w:rtl/>
        </w:rPr>
        <w:t>ת</w:t>
      </w:r>
      <w:r w:rsidR="008C16B8" w:rsidRPr="008C16B8">
        <w:rPr>
          <w:rFonts w:cs="David" w:hint="cs"/>
          <w:sz w:val="24"/>
          <w:szCs w:val="24"/>
          <w:rtl/>
        </w:rPr>
        <w:t xml:space="preserve">  המידתיות, יש לבחון האם צו החסימה יגרום לכך שמשתמשים יימנעו מלהיכנס לאתר המפר.</w:t>
      </w:r>
      <w:r w:rsidR="008C16B8" w:rsidRPr="008C16B8">
        <w:rPr>
          <w:rStyle w:val="ac"/>
          <w:rFonts w:cs="David"/>
          <w:sz w:val="24"/>
          <w:szCs w:val="24"/>
          <w:rtl/>
        </w:rPr>
        <w:footnoteReference w:id="36"/>
      </w:r>
    </w:p>
    <w:p w:rsidR="00F21E2C" w:rsidRPr="008C16B8" w:rsidRDefault="001828E9" w:rsidP="001828E9">
      <w:pPr>
        <w:spacing w:afterLines="120" w:after="288" w:line="360" w:lineRule="auto"/>
        <w:contextualSpacing/>
        <w:jc w:val="both"/>
        <w:rPr>
          <w:rFonts w:cs="David"/>
          <w:sz w:val="24"/>
          <w:szCs w:val="24"/>
        </w:rPr>
      </w:pPr>
      <w:r>
        <w:rPr>
          <w:rFonts w:cs="David" w:hint="cs"/>
          <w:sz w:val="24"/>
          <w:szCs w:val="24"/>
          <w:rtl/>
        </w:rPr>
        <w:t>בנוסף</w:t>
      </w:r>
      <w:r w:rsidR="00F21E2C" w:rsidRPr="008C16B8">
        <w:rPr>
          <w:rFonts w:cs="David" w:hint="cs"/>
          <w:sz w:val="24"/>
          <w:szCs w:val="24"/>
          <w:rtl/>
        </w:rPr>
        <w:t xml:space="preserve">, </w:t>
      </w:r>
      <w:r w:rsidRPr="008C16B8">
        <w:rPr>
          <w:rFonts w:cs="David" w:hint="cs"/>
          <w:sz w:val="24"/>
          <w:szCs w:val="24"/>
          <w:rtl/>
        </w:rPr>
        <w:t xml:space="preserve">בבואו לתת צו חסימה </w:t>
      </w:r>
      <w:r w:rsidR="00F21E2C" w:rsidRPr="008C16B8">
        <w:rPr>
          <w:rFonts w:cs="David" w:hint="cs"/>
          <w:sz w:val="24"/>
          <w:szCs w:val="24"/>
          <w:rtl/>
        </w:rPr>
        <w:t>על בית המשפט לבחון האם לצווים תהיה השפעה מרתיעה כנגד צדדים שלישיים, כלומר, האם צווי החסימה יובילו לכך שגם צדדים שלישיים ימנעו מלבצע הפרות של קניין רוחני בעתיד.</w:t>
      </w:r>
      <w:r w:rsidR="00F21E2C" w:rsidRPr="008C16B8">
        <w:rPr>
          <w:rStyle w:val="ac"/>
          <w:rFonts w:cs="David"/>
          <w:sz w:val="24"/>
          <w:szCs w:val="24"/>
          <w:rtl/>
        </w:rPr>
        <w:footnoteReference w:id="37"/>
      </w:r>
      <w:r w:rsidR="00F21E2C" w:rsidRPr="008C16B8">
        <w:rPr>
          <w:rFonts w:cs="David" w:hint="cs"/>
          <w:sz w:val="24"/>
          <w:szCs w:val="24"/>
          <w:rtl/>
        </w:rPr>
        <w:t xml:space="preserve"> </w:t>
      </w:r>
      <w:r w:rsidR="00F21E2C">
        <w:rPr>
          <w:rFonts w:cs="David" w:hint="cs"/>
          <w:sz w:val="24"/>
          <w:szCs w:val="24"/>
          <w:rtl/>
        </w:rPr>
        <w:t xml:space="preserve">באיזון בין הזכויות הרלוונטיות יש לשקול את </w:t>
      </w:r>
      <w:r w:rsidR="00F21E2C" w:rsidRPr="008C16B8">
        <w:rPr>
          <w:rFonts w:cs="David" w:hint="cs"/>
          <w:sz w:val="24"/>
          <w:szCs w:val="24"/>
          <w:rtl/>
        </w:rPr>
        <w:t>החשיבות היחסית של זכויות הקניין הרוחני וההצדקות להתערב לטובת זכויות אלו. יש לקחת בחשבון בין היתר, את זכות</w:t>
      </w:r>
      <w:r>
        <w:rPr>
          <w:rFonts w:cs="David" w:hint="cs"/>
          <w:sz w:val="24"/>
          <w:szCs w:val="24"/>
          <w:rtl/>
        </w:rPr>
        <w:t>ן</w:t>
      </w:r>
      <w:r w:rsidR="00F21E2C" w:rsidRPr="008C16B8">
        <w:rPr>
          <w:rFonts w:cs="David" w:hint="cs"/>
          <w:sz w:val="24"/>
          <w:szCs w:val="24"/>
          <w:rtl/>
        </w:rPr>
        <w:t xml:space="preserve"> של הספקיות להמשיך כרגיל בעסקיהן וכן את זכות של המשתמשים לקבל מידע.</w:t>
      </w:r>
      <w:r w:rsidR="00F21E2C" w:rsidRPr="008C16B8">
        <w:rPr>
          <w:rStyle w:val="ac"/>
          <w:rFonts w:cs="David"/>
          <w:sz w:val="24"/>
          <w:szCs w:val="24"/>
          <w:rtl/>
        </w:rPr>
        <w:footnoteReference w:id="38"/>
      </w:r>
    </w:p>
    <w:p w:rsidR="00F21E2C" w:rsidRPr="008C16B8" w:rsidRDefault="00F21E2C" w:rsidP="001828E9">
      <w:pPr>
        <w:spacing w:after="0" w:line="360" w:lineRule="auto"/>
        <w:jc w:val="both"/>
        <w:rPr>
          <w:rFonts w:cs="David"/>
          <w:sz w:val="24"/>
          <w:szCs w:val="24"/>
        </w:rPr>
      </w:pPr>
      <w:r>
        <w:rPr>
          <w:rFonts w:cs="David" w:hint="cs"/>
          <w:sz w:val="24"/>
          <w:szCs w:val="24"/>
          <w:rtl/>
        </w:rPr>
        <w:t xml:space="preserve">במסגרת בחינת </w:t>
      </w:r>
      <w:r w:rsidRPr="008C16B8">
        <w:rPr>
          <w:rFonts w:cs="David" w:hint="cs"/>
          <w:sz w:val="24"/>
          <w:szCs w:val="24"/>
          <w:rtl/>
        </w:rPr>
        <w:t>השפעת הצווים ע</w:t>
      </w:r>
      <w:r>
        <w:rPr>
          <w:rFonts w:cs="David" w:hint="cs"/>
          <w:sz w:val="24"/>
          <w:szCs w:val="24"/>
          <w:rtl/>
        </w:rPr>
        <w:t xml:space="preserve">ל משתמשים שומרי חוק, יש לבדוק </w:t>
      </w:r>
      <w:r w:rsidRPr="008C16B8">
        <w:rPr>
          <w:rFonts w:cs="David" w:hint="cs"/>
          <w:sz w:val="24"/>
          <w:szCs w:val="24"/>
          <w:rtl/>
        </w:rPr>
        <w:t xml:space="preserve">האם האתרים המפרים חולקים כתובת </w:t>
      </w:r>
      <w:r w:rsidRPr="008C16B8">
        <w:rPr>
          <w:rFonts w:cs="David"/>
          <w:sz w:val="24"/>
          <w:szCs w:val="24"/>
        </w:rPr>
        <w:t>IP</w:t>
      </w:r>
      <w:r>
        <w:rPr>
          <w:rFonts w:cs="David" w:hint="cs"/>
          <w:sz w:val="24"/>
          <w:szCs w:val="24"/>
          <w:rtl/>
        </w:rPr>
        <w:t xml:space="preserve"> עם אתרים אחרים</w:t>
      </w:r>
      <w:r w:rsidRPr="008C16B8">
        <w:rPr>
          <w:rFonts w:cs="David" w:hint="cs"/>
          <w:sz w:val="24"/>
          <w:szCs w:val="24"/>
          <w:rtl/>
        </w:rPr>
        <w:t xml:space="preserve"> </w:t>
      </w:r>
      <w:r>
        <w:rPr>
          <w:rFonts w:cs="David" w:hint="cs"/>
          <w:sz w:val="24"/>
          <w:szCs w:val="24"/>
          <w:rtl/>
        </w:rPr>
        <w:t>ו</w:t>
      </w:r>
      <w:r w:rsidRPr="008C16B8">
        <w:rPr>
          <w:rFonts w:cs="David" w:hint="cs"/>
          <w:sz w:val="24"/>
          <w:szCs w:val="24"/>
          <w:rtl/>
        </w:rPr>
        <w:t>האם הפעילות באתרים אלו חוקית</w:t>
      </w:r>
      <w:r>
        <w:rPr>
          <w:rFonts w:cs="David" w:hint="cs"/>
          <w:sz w:val="24"/>
          <w:szCs w:val="24"/>
          <w:rtl/>
        </w:rPr>
        <w:t>.</w:t>
      </w:r>
      <w:r w:rsidRPr="008C16B8">
        <w:rPr>
          <w:rStyle w:val="ac"/>
          <w:rFonts w:cs="David"/>
          <w:sz w:val="24"/>
          <w:szCs w:val="24"/>
        </w:rPr>
        <w:footnoteReference w:id="39"/>
      </w:r>
      <w:r w:rsidRPr="008C16B8">
        <w:rPr>
          <w:rFonts w:cs="David" w:hint="cs"/>
          <w:sz w:val="24"/>
          <w:szCs w:val="24"/>
          <w:rtl/>
        </w:rPr>
        <w:t xml:space="preserve"> בית המשפט ציין כי כאשר לא ברור האם הפעילות באתרים האחרים חוקית, ספקיות האינטרנט יכולות לפנות לבית המשפט על מנת שיכריע בסוגיה. כן ציין בית המשפט, כי אם ידוע שאחד מהאתרים חוקי, </w:t>
      </w:r>
      <w:r>
        <w:rPr>
          <w:rFonts w:cs="David" w:hint="cs"/>
          <w:sz w:val="24"/>
          <w:szCs w:val="24"/>
          <w:rtl/>
        </w:rPr>
        <w:t>התוצאה תהיה שינוי שיטת החסימה (</w:t>
      </w:r>
      <w:r w:rsidRPr="008C16B8">
        <w:rPr>
          <w:rFonts w:cs="David" w:hint="cs"/>
          <w:sz w:val="24"/>
          <w:szCs w:val="24"/>
          <w:rtl/>
        </w:rPr>
        <w:t xml:space="preserve">חסימת </w:t>
      </w:r>
      <w:r w:rsidRPr="008C16B8">
        <w:rPr>
          <w:rFonts w:cs="David"/>
          <w:sz w:val="24"/>
          <w:szCs w:val="24"/>
        </w:rPr>
        <w:t>DNS</w:t>
      </w:r>
      <w:r w:rsidRPr="008C16B8">
        <w:rPr>
          <w:rFonts w:cs="David" w:hint="cs"/>
          <w:sz w:val="24"/>
          <w:szCs w:val="24"/>
          <w:rtl/>
        </w:rPr>
        <w:t xml:space="preserve"> (</w:t>
      </w:r>
      <w:r w:rsidRPr="008C16B8">
        <w:rPr>
          <w:rFonts w:cs="David"/>
          <w:sz w:val="24"/>
          <w:szCs w:val="24"/>
        </w:rPr>
        <w:t>Domain Name System</w:t>
      </w:r>
      <w:r w:rsidRPr="008C16B8">
        <w:rPr>
          <w:rFonts w:cs="David" w:hint="cs"/>
          <w:sz w:val="24"/>
          <w:szCs w:val="24"/>
          <w:rtl/>
        </w:rPr>
        <w:t>)</w:t>
      </w:r>
      <w:r>
        <w:rPr>
          <w:rFonts w:cs="David" w:hint="cs"/>
          <w:sz w:val="24"/>
          <w:szCs w:val="24"/>
          <w:rtl/>
        </w:rPr>
        <w:t xml:space="preserve"> ולא </w:t>
      </w:r>
      <w:r w:rsidRPr="008C16B8">
        <w:rPr>
          <w:rFonts w:cs="David" w:hint="cs"/>
          <w:sz w:val="24"/>
          <w:szCs w:val="24"/>
          <w:rtl/>
        </w:rPr>
        <w:t xml:space="preserve">חסימת כתובת </w:t>
      </w:r>
      <w:r w:rsidRPr="008C16B8">
        <w:rPr>
          <w:rFonts w:cs="David"/>
          <w:sz w:val="24"/>
          <w:szCs w:val="24"/>
        </w:rPr>
        <w:t>IP</w:t>
      </w:r>
      <w:r>
        <w:rPr>
          <w:rFonts w:cs="David" w:hint="cs"/>
          <w:sz w:val="24"/>
          <w:szCs w:val="24"/>
          <w:rtl/>
        </w:rPr>
        <w:t>)</w:t>
      </w:r>
      <w:r w:rsidRPr="008C16B8">
        <w:rPr>
          <w:rFonts w:cs="David" w:hint="cs"/>
          <w:sz w:val="24"/>
          <w:szCs w:val="24"/>
          <w:rtl/>
        </w:rPr>
        <w:t>.</w:t>
      </w:r>
      <w:r w:rsidRPr="008C16B8">
        <w:rPr>
          <w:rStyle w:val="ac"/>
          <w:rFonts w:cs="David"/>
          <w:sz w:val="24"/>
          <w:szCs w:val="24"/>
        </w:rPr>
        <w:footnoteReference w:id="40"/>
      </w:r>
    </w:p>
    <w:p w:rsidR="00F21E2C" w:rsidRDefault="00F21E2C" w:rsidP="00F21E2C">
      <w:pPr>
        <w:spacing w:afterLines="120" w:after="288" w:line="360" w:lineRule="auto"/>
        <w:contextualSpacing/>
        <w:jc w:val="both"/>
        <w:rPr>
          <w:rFonts w:cs="David"/>
          <w:sz w:val="24"/>
          <w:szCs w:val="24"/>
          <w:rtl/>
        </w:rPr>
      </w:pPr>
    </w:p>
    <w:p w:rsidR="005813FB" w:rsidRPr="008C16B8" w:rsidRDefault="00F21E2C" w:rsidP="0031164E">
      <w:pPr>
        <w:spacing w:afterLines="120" w:after="288" w:line="360" w:lineRule="auto"/>
        <w:contextualSpacing/>
        <w:jc w:val="both"/>
        <w:rPr>
          <w:rFonts w:cs="David"/>
          <w:sz w:val="24"/>
          <w:szCs w:val="24"/>
          <w:rtl/>
        </w:rPr>
      </w:pPr>
      <w:r w:rsidRPr="00AE0937">
        <w:rPr>
          <w:rFonts w:cs="David" w:hint="cs"/>
          <w:sz w:val="24"/>
          <w:szCs w:val="24"/>
          <w:rtl/>
        </w:rPr>
        <w:t xml:space="preserve">בפועל, שיקול המידתיות הוא המרכזי </w:t>
      </w:r>
      <w:r w:rsidR="001828E9">
        <w:rPr>
          <w:rFonts w:cs="David" w:hint="cs"/>
          <w:sz w:val="24"/>
          <w:szCs w:val="24"/>
          <w:rtl/>
        </w:rPr>
        <w:t xml:space="preserve">שכן </w:t>
      </w:r>
      <w:r w:rsidRPr="00AE0937">
        <w:rPr>
          <w:rFonts w:cs="David" w:hint="cs"/>
          <w:sz w:val="24"/>
          <w:szCs w:val="24"/>
          <w:rtl/>
        </w:rPr>
        <w:t xml:space="preserve"> למעשה יתר השיקולים מהווים חלק מ</w:t>
      </w:r>
      <w:r>
        <w:rPr>
          <w:rFonts w:cs="David" w:hint="cs"/>
          <w:sz w:val="24"/>
          <w:szCs w:val="24"/>
          <w:rtl/>
        </w:rPr>
        <w:t>ניתוח המידתיות.</w:t>
      </w:r>
      <w:r>
        <w:rPr>
          <w:rStyle w:val="ac"/>
          <w:rFonts w:cs="David"/>
          <w:sz w:val="24"/>
          <w:szCs w:val="24"/>
          <w:rtl/>
        </w:rPr>
        <w:footnoteReference w:id="41"/>
      </w:r>
      <w:r>
        <w:rPr>
          <w:rFonts w:cs="David" w:hint="cs"/>
          <w:sz w:val="24"/>
          <w:szCs w:val="24"/>
          <w:rtl/>
        </w:rPr>
        <w:t xml:space="preserve"> בבחינת מידתיות הצו יש לקחת בחשבון את </w:t>
      </w:r>
      <w:r w:rsidRPr="005044B2">
        <w:rPr>
          <w:rFonts w:cs="David" w:hint="cs"/>
          <w:sz w:val="24"/>
          <w:szCs w:val="24"/>
          <w:rtl/>
        </w:rPr>
        <w:t>אופי</w:t>
      </w:r>
      <w:r w:rsidRPr="005044B2">
        <w:rPr>
          <w:rFonts w:cs="David"/>
          <w:sz w:val="24"/>
          <w:szCs w:val="24"/>
          <w:rtl/>
        </w:rPr>
        <w:t xml:space="preserve"> </w:t>
      </w:r>
      <w:r w:rsidRPr="005044B2">
        <w:rPr>
          <w:rFonts w:cs="David" w:hint="cs"/>
          <w:sz w:val="24"/>
          <w:szCs w:val="24"/>
          <w:rtl/>
        </w:rPr>
        <w:t>האמצעים</w:t>
      </w:r>
      <w:r w:rsidRPr="005044B2">
        <w:rPr>
          <w:rFonts w:cs="David"/>
          <w:sz w:val="24"/>
          <w:szCs w:val="24"/>
          <w:rtl/>
        </w:rPr>
        <w:t xml:space="preserve"> </w:t>
      </w:r>
      <w:r w:rsidRPr="005044B2">
        <w:rPr>
          <w:rFonts w:cs="David" w:hint="cs"/>
          <w:sz w:val="24"/>
          <w:szCs w:val="24"/>
          <w:rtl/>
        </w:rPr>
        <w:t>הטכניים</w:t>
      </w:r>
      <w:r w:rsidRPr="005044B2">
        <w:rPr>
          <w:rFonts w:cs="David"/>
          <w:sz w:val="24"/>
          <w:szCs w:val="24"/>
          <w:rtl/>
        </w:rPr>
        <w:t xml:space="preserve"> </w:t>
      </w:r>
      <w:r>
        <w:rPr>
          <w:rFonts w:cs="David" w:hint="cs"/>
          <w:sz w:val="24"/>
          <w:szCs w:val="24"/>
          <w:rtl/>
        </w:rPr>
        <w:t>ש</w:t>
      </w:r>
      <w:r w:rsidRPr="005044B2">
        <w:rPr>
          <w:rFonts w:cs="David" w:hint="cs"/>
          <w:sz w:val="24"/>
          <w:szCs w:val="24"/>
          <w:rtl/>
        </w:rPr>
        <w:t>נדרש</w:t>
      </w:r>
      <w:r w:rsidR="001828E9">
        <w:rPr>
          <w:rFonts w:cs="David" w:hint="cs"/>
          <w:sz w:val="24"/>
          <w:szCs w:val="24"/>
          <w:rtl/>
        </w:rPr>
        <w:t>ות</w:t>
      </w:r>
      <w:r w:rsidRPr="005044B2">
        <w:rPr>
          <w:rFonts w:cs="David"/>
          <w:sz w:val="24"/>
          <w:szCs w:val="24"/>
          <w:rtl/>
        </w:rPr>
        <w:t xml:space="preserve"> </w:t>
      </w:r>
      <w:r w:rsidRPr="005044B2">
        <w:rPr>
          <w:rFonts w:cs="David" w:hint="cs"/>
          <w:sz w:val="24"/>
          <w:szCs w:val="24"/>
          <w:rtl/>
        </w:rPr>
        <w:t>ספקי</w:t>
      </w:r>
      <w:r w:rsidR="001828E9">
        <w:rPr>
          <w:rFonts w:cs="David" w:hint="cs"/>
          <w:sz w:val="24"/>
          <w:szCs w:val="24"/>
          <w:rtl/>
        </w:rPr>
        <w:t>ות</w:t>
      </w:r>
      <w:r w:rsidRPr="005044B2">
        <w:rPr>
          <w:rFonts w:cs="David"/>
          <w:sz w:val="24"/>
          <w:szCs w:val="24"/>
          <w:rtl/>
        </w:rPr>
        <w:t xml:space="preserve"> </w:t>
      </w:r>
      <w:r w:rsidRPr="005044B2">
        <w:rPr>
          <w:rFonts w:cs="David" w:hint="cs"/>
          <w:sz w:val="24"/>
          <w:szCs w:val="24"/>
          <w:rtl/>
        </w:rPr>
        <w:t>שירותי</w:t>
      </w:r>
      <w:r w:rsidRPr="005044B2">
        <w:rPr>
          <w:rFonts w:cs="David"/>
          <w:sz w:val="24"/>
          <w:szCs w:val="24"/>
          <w:rtl/>
        </w:rPr>
        <w:t xml:space="preserve"> </w:t>
      </w:r>
      <w:r w:rsidR="001828E9">
        <w:rPr>
          <w:rFonts w:cs="David" w:hint="cs"/>
          <w:sz w:val="24"/>
          <w:szCs w:val="24"/>
          <w:rtl/>
        </w:rPr>
        <w:t>ה</w:t>
      </w:r>
      <w:r w:rsidRPr="005044B2">
        <w:rPr>
          <w:rFonts w:cs="David" w:hint="cs"/>
          <w:sz w:val="24"/>
          <w:szCs w:val="24"/>
          <w:rtl/>
        </w:rPr>
        <w:t>אינטרנט</w:t>
      </w:r>
      <w:r w:rsidRPr="005044B2">
        <w:rPr>
          <w:rFonts w:cs="David"/>
          <w:sz w:val="24"/>
          <w:szCs w:val="24"/>
          <w:rtl/>
        </w:rPr>
        <w:t xml:space="preserve"> </w:t>
      </w:r>
      <w:r w:rsidRPr="005044B2">
        <w:rPr>
          <w:rFonts w:cs="David" w:hint="cs"/>
          <w:sz w:val="24"/>
          <w:szCs w:val="24"/>
          <w:rtl/>
        </w:rPr>
        <w:t>לאמץ</w:t>
      </w:r>
      <w:r w:rsidRPr="005044B2">
        <w:rPr>
          <w:rFonts w:cs="David"/>
          <w:sz w:val="24"/>
          <w:szCs w:val="24"/>
          <w:rtl/>
        </w:rPr>
        <w:t xml:space="preserve">, </w:t>
      </w:r>
      <w:r>
        <w:rPr>
          <w:rFonts w:cs="David" w:hint="cs"/>
          <w:sz w:val="24"/>
          <w:szCs w:val="24"/>
          <w:rtl/>
        </w:rPr>
        <w:t>שמשפיעים על</w:t>
      </w:r>
      <w:r w:rsidRPr="005044B2">
        <w:rPr>
          <w:rFonts w:cs="David"/>
          <w:sz w:val="24"/>
          <w:szCs w:val="24"/>
          <w:rtl/>
        </w:rPr>
        <w:t xml:space="preserve"> </w:t>
      </w:r>
      <w:r w:rsidRPr="005044B2">
        <w:rPr>
          <w:rFonts w:cs="David" w:hint="cs"/>
          <w:sz w:val="24"/>
          <w:szCs w:val="24"/>
          <w:rtl/>
        </w:rPr>
        <w:t>יעילותם</w:t>
      </w:r>
      <w:r>
        <w:rPr>
          <w:rFonts w:cs="David" w:hint="cs"/>
          <w:sz w:val="24"/>
          <w:szCs w:val="24"/>
          <w:rtl/>
        </w:rPr>
        <w:t xml:space="preserve"> של </w:t>
      </w:r>
      <w:r w:rsidRPr="008C16B8">
        <w:rPr>
          <w:rFonts w:cs="David" w:hint="cs"/>
          <w:sz w:val="24"/>
          <w:szCs w:val="24"/>
          <w:rtl/>
        </w:rPr>
        <w:t>הצווים</w:t>
      </w:r>
      <w:r w:rsidRPr="008C16B8">
        <w:rPr>
          <w:rFonts w:cs="David"/>
          <w:sz w:val="24"/>
          <w:szCs w:val="24"/>
          <w:rtl/>
        </w:rPr>
        <w:t xml:space="preserve">, </w:t>
      </w:r>
      <w:r w:rsidRPr="008C16B8">
        <w:rPr>
          <w:rFonts w:cs="David" w:hint="cs"/>
          <w:sz w:val="24"/>
          <w:szCs w:val="24"/>
          <w:rtl/>
        </w:rPr>
        <w:t>עלויותיהם</w:t>
      </w:r>
      <w:r w:rsidRPr="008C16B8">
        <w:rPr>
          <w:rFonts w:cs="David"/>
          <w:sz w:val="24"/>
          <w:szCs w:val="24"/>
          <w:rtl/>
        </w:rPr>
        <w:t xml:space="preserve"> </w:t>
      </w:r>
      <w:r w:rsidRPr="008C16B8">
        <w:rPr>
          <w:rFonts w:cs="David" w:hint="cs"/>
          <w:sz w:val="24"/>
          <w:szCs w:val="24"/>
          <w:rtl/>
        </w:rPr>
        <w:t>והשפעתם</w:t>
      </w:r>
      <w:r w:rsidRPr="008C16B8">
        <w:rPr>
          <w:rFonts w:cs="David"/>
          <w:sz w:val="24"/>
          <w:szCs w:val="24"/>
          <w:rtl/>
        </w:rPr>
        <w:t xml:space="preserve"> </w:t>
      </w:r>
      <w:r w:rsidRPr="008C16B8">
        <w:rPr>
          <w:rFonts w:cs="David" w:hint="cs"/>
          <w:sz w:val="24"/>
          <w:szCs w:val="24"/>
          <w:rtl/>
        </w:rPr>
        <w:t>על</w:t>
      </w:r>
      <w:r w:rsidRPr="008C16B8">
        <w:rPr>
          <w:rFonts w:cs="David"/>
          <w:sz w:val="24"/>
          <w:szCs w:val="24"/>
          <w:rtl/>
        </w:rPr>
        <w:t xml:space="preserve"> </w:t>
      </w:r>
      <w:r w:rsidRPr="008C16B8">
        <w:rPr>
          <w:rFonts w:cs="David" w:hint="cs"/>
          <w:sz w:val="24"/>
          <w:szCs w:val="24"/>
          <w:rtl/>
        </w:rPr>
        <w:t>המשתמשים</w:t>
      </w:r>
      <w:r w:rsidRPr="008C16B8">
        <w:rPr>
          <w:rFonts w:cs="David"/>
          <w:sz w:val="24"/>
          <w:szCs w:val="24"/>
          <w:rtl/>
        </w:rPr>
        <w:t xml:space="preserve"> </w:t>
      </w:r>
      <w:r w:rsidRPr="008C16B8">
        <w:rPr>
          <w:rFonts w:cs="David" w:hint="cs"/>
          <w:sz w:val="24"/>
          <w:szCs w:val="24"/>
          <w:rtl/>
        </w:rPr>
        <w:t>באופן חוקי</w:t>
      </w:r>
      <w:r w:rsidRPr="008C16B8">
        <w:rPr>
          <w:rFonts w:cs="David"/>
          <w:sz w:val="24"/>
          <w:szCs w:val="24"/>
          <w:rtl/>
        </w:rPr>
        <w:t xml:space="preserve">. </w:t>
      </w:r>
      <w:r w:rsidR="0031164E">
        <w:rPr>
          <w:rFonts w:cs="David" w:hint="cs"/>
          <w:sz w:val="24"/>
          <w:szCs w:val="24"/>
          <w:rtl/>
        </w:rPr>
        <w:t xml:space="preserve">כך, </w:t>
      </w:r>
      <w:r w:rsidR="005813FB" w:rsidRPr="008C16B8">
        <w:rPr>
          <w:rFonts w:cs="David" w:hint="cs"/>
          <w:sz w:val="24"/>
          <w:szCs w:val="24"/>
          <w:rtl/>
        </w:rPr>
        <w:t>בית המשפט מציין כי שאלת המפתח בעניין מידתיות  הצווים היא, האם העלות הצפויה של הצווים שיושתו על ספקיות האינטרנט מוצדקת אל מול היעילות הסבירה של אמצעי החסימה</w:t>
      </w:r>
      <w:r w:rsidR="00167E7B">
        <w:rPr>
          <w:rFonts w:cs="David" w:hint="cs"/>
          <w:sz w:val="24"/>
          <w:szCs w:val="24"/>
          <w:rtl/>
        </w:rPr>
        <w:t xml:space="preserve"> </w:t>
      </w:r>
      <w:r w:rsidR="005813FB" w:rsidRPr="008C16B8">
        <w:rPr>
          <w:rFonts w:cs="David" w:hint="cs"/>
          <w:sz w:val="24"/>
          <w:szCs w:val="24"/>
          <w:rtl/>
        </w:rPr>
        <w:t xml:space="preserve">והתועלת הצפויה לבעלי הזכויות, </w:t>
      </w:r>
      <w:r w:rsidR="009D1BD2">
        <w:rPr>
          <w:rFonts w:cs="David" w:hint="cs"/>
          <w:sz w:val="24"/>
          <w:szCs w:val="24"/>
          <w:rtl/>
        </w:rPr>
        <w:t xml:space="preserve">זאת </w:t>
      </w:r>
      <w:r w:rsidR="005813FB" w:rsidRPr="008C16B8">
        <w:rPr>
          <w:rFonts w:cs="David" w:hint="cs"/>
          <w:sz w:val="24"/>
          <w:szCs w:val="24"/>
          <w:rtl/>
        </w:rPr>
        <w:t xml:space="preserve">תוך התייחסות לאמצעים החלופיים העומדים לרשות המבקשות ולתחליפיות של האתרים המפרים. במקרה </w:t>
      </w:r>
      <w:r>
        <w:rPr>
          <w:rFonts w:cs="David" w:hint="cs"/>
          <w:sz w:val="24"/>
          <w:szCs w:val="24"/>
          <w:rtl/>
        </w:rPr>
        <w:t>הנדון</w:t>
      </w:r>
      <w:r w:rsidR="005813FB" w:rsidRPr="008C16B8">
        <w:rPr>
          <w:rFonts w:cs="David" w:hint="cs"/>
          <w:sz w:val="24"/>
          <w:szCs w:val="24"/>
          <w:rtl/>
        </w:rPr>
        <w:t>, בית המשפט הגיע למסקנה כי הצווים מידתיים ומהווים איזון הוגן בין הזכויות, לרבות זכויותיהם של אנשים אשר עשויים להיות מושפעים מהצווים ואשר לא הופיעו בפני בית המשפט.</w:t>
      </w:r>
      <w:r w:rsidR="005813FB" w:rsidRPr="008C16B8">
        <w:rPr>
          <w:rStyle w:val="ac"/>
          <w:rFonts w:cs="David"/>
          <w:sz w:val="24"/>
          <w:szCs w:val="24"/>
          <w:rtl/>
        </w:rPr>
        <w:footnoteReference w:id="42"/>
      </w:r>
      <w:r w:rsidR="005813FB" w:rsidRPr="008C16B8">
        <w:rPr>
          <w:rFonts w:cs="David" w:hint="cs"/>
          <w:sz w:val="24"/>
          <w:szCs w:val="24"/>
          <w:rtl/>
        </w:rPr>
        <w:t xml:space="preserve"> </w:t>
      </w:r>
    </w:p>
    <w:p w:rsidR="005813FB" w:rsidRPr="008C16B8" w:rsidRDefault="00F21E2C" w:rsidP="00C025E3">
      <w:pPr>
        <w:spacing w:afterLines="120" w:after="288" w:line="360" w:lineRule="auto"/>
        <w:contextualSpacing/>
        <w:jc w:val="both"/>
        <w:rPr>
          <w:rFonts w:cs="David"/>
          <w:sz w:val="24"/>
          <w:szCs w:val="24"/>
          <w:rtl/>
        </w:rPr>
      </w:pPr>
      <w:r>
        <w:rPr>
          <w:rFonts w:cs="David" w:hint="cs"/>
          <w:sz w:val="24"/>
          <w:szCs w:val="24"/>
          <w:rtl/>
        </w:rPr>
        <w:lastRenderedPageBreak/>
        <w:t xml:space="preserve">בית המשפט קובע </w:t>
      </w:r>
      <w:r w:rsidR="005813FB" w:rsidRPr="00F21E2C">
        <w:rPr>
          <w:rFonts w:cs="David" w:hint="cs"/>
          <w:sz w:val="24"/>
          <w:szCs w:val="24"/>
          <w:rtl/>
        </w:rPr>
        <w:t>אמצעים למניעת שימוש לרעה</w:t>
      </w:r>
      <w:r w:rsidRPr="00F21E2C">
        <w:rPr>
          <w:rFonts w:cs="David" w:hint="cs"/>
          <w:sz w:val="24"/>
          <w:szCs w:val="24"/>
          <w:rtl/>
        </w:rPr>
        <w:t xml:space="preserve"> בצו החסימה</w:t>
      </w:r>
      <w:r>
        <w:rPr>
          <w:rFonts w:cs="David" w:hint="cs"/>
          <w:sz w:val="24"/>
          <w:szCs w:val="24"/>
          <w:rtl/>
        </w:rPr>
        <w:t>, כך</w:t>
      </w:r>
      <w:r w:rsidR="005813FB" w:rsidRPr="00F21E2C">
        <w:rPr>
          <w:rFonts w:cs="David" w:hint="cs"/>
          <w:sz w:val="24"/>
          <w:szCs w:val="24"/>
          <w:rtl/>
        </w:rPr>
        <w:t xml:space="preserve"> </w:t>
      </w:r>
      <w:r>
        <w:rPr>
          <w:rFonts w:cs="David" w:hint="cs"/>
          <w:sz w:val="24"/>
          <w:szCs w:val="24"/>
          <w:rtl/>
        </w:rPr>
        <w:t>ש</w:t>
      </w:r>
      <w:r w:rsidR="005813FB" w:rsidRPr="008C16B8">
        <w:rPr>
          <w:rFonts w:cs="David" w:hint="cs"/>
          <w:sz w:val="24"/>
          <w:szCs w:val="24"/>
          <w:rtl/>
        </w:rPr>
        <w:t>ספקיות ה</w:t>
      </w:r>
      <w:r>
        <w:rPr>
          <w:rFonts w:cs="David" w:hint="cs"/>
          <w:sz w:val="24"/>
          <w:szCs w:val="24"/>
          <w:rtl/>
        </w:rPr>
        <w:t>גישה ל</w:t>
      </w:r>
      <w:r w:rsidR="005813FB" w:rsidRPr="008C16B8">
        <w:rPr>
          <w:rFonts w:cs="David" w:hint="cs"/>
          <w:sz w:val="24"/>
          <w:szCs w:val="24"/>
          <w:rtl/>
        </w:rPr>
        <w:t xml:space="preserve">אינטרנט </w:t>
      </w:r>
      <w:r>
        <w:rPr>
          <w:rFonts w:cs="David" w:hint="cs"/>
          <w:sz w:val="24"/>
          <w:szCs w:val="24"/>
          <w:rtl/>
        </w:rPr>
        <w:t>רשאיות</w:t>
      </w:r>
      <w:r w:rsidR="005813FB" w:rsidRPr="008C16B8">
        <w:rPr>
          <w:rFonts w:cs="David" w:hint="cs"/>
          <w:sz w:val="24"/>
          <w:szCs w:val="24"/>
          <w:rtl/>
        </w:rPr>
        <w:t xml:space="preserve"> לפנות לבית המשפט לשנות או לבטל את צו החסימה במקרה של שינוי מהותי בנסיבות, לרבות בגין עלויות</w:t>
      </w:r>
      <w:r w:rsidR="00C025E3">
        <w:rPr>
          <w:rFonts w:cs="David" w:hint="cs"/>
          <w:sz w:val="24"/>
          <w:szCs w:val="24"/>
          <w:rtl/>
        </w:rPr>
        <w:t xml:space="preserve"> יישום הצו</w:t>
      </w:r>
      <w:r w:rsidR="005813FB" w:rsidRPr="008C16B8">
        <w:rPr>
          <w:rFonts w:cs="David" w:hint="cs"/>
          <w:sz w:val="24"/>
          <w:szCs w:val="24"/>
          <w:rtl/>
        </w:rPr>
        <w:t xml:space="preserve">, ההשלכות על הצדדים ויעילות צווי החסימה. כמו כן, מפעילי האתרים המפרים </w:t>
      </w:r>
      <w:r w:rsidR="00C025E3">
        <w:rPr>
          <w:rFonts w:cs="David" w:hint="cs"/>
          <w:sz w:val="24"/>
          <w:szCs w:val="24"/>
          <w:rtl/>
        </w:rPr>
        <w:t>רשאים</w:t>
      </w:r>
      <w:r w:rsidR="005813FB" w:rsidRPr="008C16B8">
        <w:rPr>
          <w:rFonts w:cs="David" w:hint="cs"/>
          <w:sz w:val="24"/>
          <w:szCs w:val="24"/>
          <w:rtl/>
        </w:rPr>
        <w:t xml:space="preserve"> לפנות לבית המשפט</w:t>
      </w:r>
      <w:r w:rsidR="00C025E3">
        <w:rPr>
          <w:rFonts w:cs="David" w:hint="cs"/>
          <w:sz w:val="24"/>
          <w:szCs w:val="24"/>
          <w:rtl/>
        </w:rPr>
        <w:t xml:space="preserve"> על מנת לשנות או לבטל את הצווים,</w:t>
      </w:r>
      <w:r w:rsidR="005813FB" w:rsidRPr="008C16B8">
        <w:rPr>
          <w:rStyle w:val="ac"/>
          <w:rFonts w:cs="David"/>
          <w:sz w:val="24"/>
          <w:szCs w:val="24"/>
          <w:rtl/>
        </w:rPr>
        <w:footnoteReference w:id="43"/>
      </w:r>
      <w:r w:rsidR="005813FB" w:rsidRPr="008C16B8">
        <w:rPr>
          <w:rFonts w:cs="David" w:hint="cs"/>
          <w:sz w:val="24"/>
          <w:szCs w:val="24"/>
          <w:rtl/>
        </w:rPr>
        <w:t xml:space="preserve"> </w:t>
      </w:r>
      <w:r w:rsidR="00C025E3">
        <w:rPr>
          <w:rFonts w:cs="David" w:hint="cs"/>
          <w:sz w:val="24"/>
          <w:szCs w:val="24"/>
          <w:rtl/>
        </w:rPr>
        <w:t>וכן ה</w:t>
      </w:r>
      <w:r w:rsidR="005813FB" w:rsidRPr="008C16B8">
        <w:rPr>
          <w:rFonts w:cs="David" w:hint="cs"/>
          <w:sz w:val="24"/>
          <w:szCs w:val="24"/>
          <w:rtl/>
        </w:rPr>
        <w:t>משתמשים אשר מושפעים מהצו.</w:t>
      </w:r>
      <w:r w:rsidR="005813FB" w:rsidRPr="008C16B8">
        <w:rPr>
          <w:rStyle w:val="ac"/>
          <w:rFonts w:cs="David"/>
          <w:sz w:val="24"/>
          <w:szCs w:val="24"/>
          <w:rtl/>
        </w:rPr>
        <w:footnoteReference w:id="44"/>
      </w:r>
      <w:r w:rsidR="005813FB" w:rsidRPr="008C16B8">
        <w:rPr>
          <w:rFonts w:cs="David" w:hint="cs"/>
          <w:sz w:val="24"/>
          <w:szCs w:val="24"/>
          <w:rtl/>
        </w:rPr>
        <w:t xml:space="preserve"> </w:t>
      </w:r>
    </w:p>
    <w:p w:rsidR="005813FB" w:rsidRPr="008C16B8" w:rsidRDefault="005813FB" w:rsidP="009D1BD2">
      <w:pPr>
        <w:spacing w:afterLines="120" w:after="288" w:line="360" w:lineRule="auto"/>
        <w:contextualSpacing/>
        <w:jc w:val="both"/>
        <w:rPr>
          <w:rFonts w:cs="David"/>
          <w:sz w:val="24"/>
          <w:szCs w:val="24"/>
          <w:rtl/>
        </w:rPr>
      </w:pPr>
      <w:r w:rsidRPr="008C16B8">
        <w:rPr>
          <w:rFonts w:cs="David" w:hint="cs"/>
          <w:sz w:val="24"/>
          <w:szCs w:val="24"/>
          <w:rtl/>
        </w:rPr>
        <w:t xml:space="preserve">בית המשפט </w:t>
      </w:r>
      <w:r w:rsidR="00246D07">
        <w:rPr>
          <w:rFonts w:cs="David" w:hint="cs"/>
          <w:sz w:val="24"/>
          <w:szCs w:val="24"/>
          <w:rtl/>
        </w:rPr>
        <w:t>הורה</w:t>
      </w:r>
      <w:r w:rsidRPr="008C16B8">
        <w:rPr>
          <w:rFonts w:cs="David" w:hint="cs"/>
          <w:sz w:val="24"/>
          <w:szCs w:val="24"/>
          <w:rtl/>
        </w:rPr>
        <w:t xml:space="preserve"> כי באתר החסום </w:t>
      </w:r>
      <w:r w:rsidR="00246D07">
        <w:rPr>
          <w:rFonts w:cs="David" w:hint="cs"/>
          <w:sz w:val="24"/>
          <w:szCs w:val="24"/>
          <w:rtl/>
        </w:rPr>
        <w:t>תופיע ה</w:t>
      </w:r>
      <w:r w:rsidRPr="008C16B8">
        <w:rPr>
          <w:rFonts w:cs="David" w:hint="cs"/>
          <w:sz w:val="24"/>
          <w:szCs w:val="24"/>
          <w:rtl/>
        </w:rPr>
        <w:t xml:space="preserve">ודעה בה יובהר כי הגישה לאתר נחסמה על ידי צו בית משפט, </w:t>
      </w:r>
      <w:r w:rsidR="00246D07">
        <w:rPr>
          <w:rFonts w:cs="David" w:hint="cs"/>
          <w:sz w:val="24"/>
          <w:szCs w:val="24"/>
          <w:rtl/>
        </w:rPr>
        <w:t xml:space="preserve">יפורטו בה שמות מבקשי הצו ויצוין </w:t>
      </w:r>
      <w:r w:rsidRPr="008C16B8">
        <w:rPr>
          <w:rFonts w:cs="David" w:hint="cs"/>
          <w:sz w:val="24"/>
          <w:szCs w:val="24"/>
          <w:rtl/>
        </w:rPr>
        <w:t>כי למשתמשים שהושפעו מהצו יש</w:t>
      </w:r>
      <w:r w:rsidR="00246D07">
        <w:rPr>
          <w:rFonts w:cs="David" w:hint="cs"/>
          <w:sz w:val="24"/>
          <w:szCs w:val="24"/>
          <w:rtl/>
        </w:rPr>
        <w:t>נה</w:t>
      </w:r>
      <w:r w:rsidRPr="008C16B8">
        <w:rPr>
          <w:rFonts w:cs="David" w:hint="cs"/>
          <w:sz w:val="24"/>
          <w:szCs w:val="24"/>
          <w:rtl/>
        </w:rPr>
        <w:t xml:space="preserve"> הזכות לפנות לבית המשפט על מנת לשנות או לבטל את הצו. כן קבע בית המשפט</w:t>
      </w:r>
      <w:r w:rsidR="009D1BD2">
        <w:rPr>
          <w:rFonts w:cs="David" w:hint="cs"/>
          <w:sz w:val="24"/>
          <w:szCs w:val="24"/>
          <w:rtl/>
        </w:rPr>
        <w:t>,</w:t>
      </w:r>
      <w:r w:rsidRPr="008C16B8">
        <w:rPr>
          <w:rFonts w:cs="David" w:hint="cs"/>
          <w:sz w:val="24"/>
          <w:szCs w:val="24"/>
          <w:rtl/>
        </w:rPr>
        <w:t xml:space="preserve"> כי על צווי החסימה להיות מוגבלים בזמן, אלא אם ספקיות האינטרנט מסכימות שהצווים ימשיכו לחול או לחלופין בית המשפט יפסוק שהם צריכים להמשיך לחול. כך תהיה ביקורת </w:t>
      </w:r>
      <w:r w:rsidR="009D1BD2" w:rsidRPr="008C16B8">
        <w:rPr>
          <w:rFonts w:cs="David" w:hint="cs"/>
          <w:sz w:val="24"/>
          <w:szCs w:val="24"/>
          <w:rtl/>
        </w:rPr>
        <w:t xml:space="preserve">על הצווים </w:t>
      </w:r>
      <w:r w:rsidRPr="008C16B8">
        <w:rPr>
          <w:rFonts w:cs="David" w:hint="cs"/>
          <w:sz w:val="24"/>
          <w:szCs w:val="24"/>
          <w:rtl/>
        </w:rPr>
        <w:t>והם ייבחנו לאור היעילות שלהם. בית המשפט ציין כי התקופה תיקבע לאחר שמיעת הצדדים, אך לטעמו פרק הזמן האידיאלי הוא שנתיים.</w:t>
      </w:r>
      <w:r w:rsidRPr="008C16B8">
        <w:rPr>
          <w:rStyle w:val="ac"/>
          <w:rFonts w:cs="David"/>
          <w:sz w:val="24"/>
          <w:szCs w:val="24"/>
          <w:rtl/>
        </w:rPr>
        <w:footnoteReference w:id="45"/>
      </w:r>
      <w:r w:rsidRPr="008C16B8">
        <w:rPr>
          <w:rFonts w:cs="David" w:hint="cs"/>
          <w:sz w:val="24"/>
          <w:szCs w:val="24"/>
          <w:rtl/>
        </w:rPr>
        <w:t xml:space="preserve">  </w:t>
      </w:r>
    </w:p>
    <w:p w:rsidR="00353193" w:rsidRDefault="00353193" w:rsidP="00D74DB8">
      <w:pPr>
        <w:contextualSpacing/>
        <w:rPr>
          <w:rFonts w:cs="David"/>
          <w:sz w:val="24"/>
          <w:szCs w:val="24"/>
          <w:rtl/>
        </w:rPr>
      </w:pPr>
    </w:p>
    <w:p w:rsidR="007D60C2" w:rsidRDefault="00246D07" w:rsidP="009D1BD2">
      <w:pPr>
        <w:spacing w:afterLines="120" w:after="288" w:line="360" w:lineRule="auto"/>
        <w:contextualSpacing/>
        <w:jc w:val="both"/>
        <w:rPr>
          <w:rFonts w:cs="David"/>
          <w:sz w:val="24"/>
          <w:szCs w:val="24"/>
          <w:rtl/>
        </w:rPr>
      </w:pPr>
      <w:r w:rsidRPr="00246D07">
        <w:rPr>
          <w:rFonts w:cs="David" w:hint="cs"/>
          <w:b/>
          <w:bCs/>
          <w:sz w:val="24"/>
          <w:szCs w:val="24"/>
          <w:u w:val="single"/>
          <w:rtl/>
        </w:rPr>
        <w:t>בגרמניה</w:t>
      </w:r>
      <w:r>
        <w:rPr>
          <w:rFonts w:cs="David" w:hint="cs"/>
          <w:sz w:val="24"/>
          <w:szCs w:val="24"/>
          <w:rtl/>
        </w:rPr>
        <w:t xml:space="preserve">, אישר בית המשפט העליון כי לבתי </w:t>
      </w:r>
      <w:r w:rsidR="007D60C2">
        <w:rPr>
          <w:rFonts w:cs="David" w:hint="cs"/>
          <w:sz w:val="24"/>
          <w:szCs w:val="24"/>
          <w:rtl/>
        </w:rPr>
        <w:t xml:space="preserve">המשפט </w:t>
      </w:r>
      <w:r>
        <w:rPr>
          <w:rFonts w:cs="David" w:hint="cs"/>
          <w:sz w:val="24"/>
          <w:szCs w:val="24"/>
          <w:rtl/>
        </w:rPr>
        <w:t xml:space="preserve">סמכות להורות לחברות </w:t>
      </w:r>
      <w:r w:rsidRPr="00246D07">
        <w:rPr>
          <w:rFonts w:cs="David" w:hint="cs"/>
          <w:sz w:val="24"/>
          <w:szCs w:val="24"/>
          <w:rtl/>
        </w:rPr>
        <w:t>תקשורת</w:t>
      </w:r>
      <w:r w:rsidRPr="00246D07">
        <w:rPr>
          <w:rFonts w:cs="David"/>
          <w:sz w:val="24"/>
          <w:szCs w:val="24"/>
          <w:rtl/>
        </w:rPr>
        <w:t xml:space="preserve"> </w:t>
      </w:r>
      <w:r>
        <w:rPr>
          <w:rFonts w:cs="David" w:hint="cs"/>
          <w:sz w:val="24"/>
          <w:szCs w:val="24"/>
          <w:rtl/>
        </w:rPr>
        <w:t>למנוע</w:t>
      </w:r>
      <w:r w:rsidRPr="00246D07">
        <w:rPr>
          <w:rFonts w:cs="David"/>
          <w:sz w:val="24"/>
          <w:szCs w:val="24"/>
          <w:rtl/>
        </w:rPr>
        <w:t xml:space="preserve"> </w:t>
      </w:r>
      <w:r w:rsidRPr="00246D07">
        <w:rPr>
          <w:rFonts w:cs="David" w:hint="cs"/>
          <w:sz w:val="24"/>
          <w:szCs w:val="24"/>
          <w:rtl/>
        </w:rPr>
        <w:t>גישה</w:t>
      </w:r>
      <w:r w:rsidRPr="00246D07">
        <w:rPr>
          <w:rFonts w:cs="David"/>
          <w:sz w:val="24"/>
          <w:szCs w:val="24"/>
          <w:rtl/>
        </w:rPr>
        <w:t xml:space="preserve"> </w:t>
      </w:r>
      <w:r w:rsidRPr="00246D07">
        <w:rPr>
          <w:rFonts w:cs="David" w:hint="cs"/>
          <w:sz w:val="24"/>
          <w:szCs w:val="24"/>
          <w:rtl/>
        </w:rPr>
        <w:t>לאתרים</w:t>
      </w:r>
      <w:r w:rsidRPr="00246D07">
        <w:rPr>
          <w:rFonts w:cs="David"/>
          <w:sz w:val="24"/>
          <w:szCs w:val="24"/>
          <w:rtl/>
        </w:rPr>
        <w:t xml:space="preserve"> </w:t>
      </w:r>
      <w:r w:rsidRPr="00246D07">
        <w:rPr>
          <w:rFonts w:cs="David" w:hint="cs"/>
          <w:sz w:val="24"/>
          <w:szCs w:val="24"/>
          <w:rtl/>
        </w:rPr>
        <w:t>המארחים</w:t>
      </w:r>
      <w:r w:rsidR="007D60C2">
        <w:rPr>
          <w:rFonts w:cs="David" w:hint="cs"/>
          <w:sz w:val="24"/>
          <w:szCs w:val="24"/>
          <w:rtl/>
        </w:rPr>
        <w:t xml:space="preserve"> תכנים</w:t>
      </w:r>
      <w:r w:rsidRPr="00246D07">
        <w:rPr>
          <w:rFonts w:cs="David"/>
          <w:sz w:val="24"/>
          <w:szCs w:val="24"/>
          <w:rtl/>
        </w:rPr>
        <w:t xml:space="preserve"> </w:t>
      </w:r>
      <w:r w:rsidRPr="00246D07">
        <w:rPr>
          <w:rFonts w:cs="David" w:hint="cs"/>
          <w:sz w:val="24"/>
          <w:szCs w:val="24"/>
          <w:rtl/>
        </w:rPr>
        <w:t>או</w:t>
      </w:r>
      <w:r w:rsidRPr="00246D07">
        <w:rPr>
          <w:rFonts w:cs="David"/>
          <w:sz w:val="24"/>
          <w:szCs w:val="24"/>
          <w:rtl/>
        </w:rPr>
        <w:t xml:space="preserve"> </w:t>
      </w:r>
      <w:r w:rsidRPr="00246D07">
        <w:rPr>
          <w:rFonts w:cs="David" w:hint="cs"/>
          <w:sz w:val="24"/>
          <w:szCs w:val="24"/>
          <w:rtl/>
        </w:rPr>
        <w:t>מקשרים</w:t>
      </w:r>
      <w:r w:rsidRPr="00246D07">
        <w:rPr>
          <w:rFonts w:cs="David"/>
          <w:sz w:val="24"/>
          <w:szCs w:val="24"/>
          <w:rtl/>
        </w:rPr>
        <w:t xml:space="preserve"> </w:t>
      </w:r>
      <w:r w:rsidR="007D60C2">
        <w:rPr>
          <w:rFonts w:cs="David" w:hint="cs"/>
          <w:sz w:val="24"/>
          <w:szCs w:val="24"/>
          <w:rtl/>
        </w:rPr>
        <w:t>לתכנים</w:t>
      </w:r>
      <w:r w:rsidRPr="00246D07">
        <w:rPr>
          <w:rFonts w:cs="David"/>
          <w:sz w:val="24"/>
          <w:szCs w:val="24"/>
          <w:rtl/>
        </w:rPr>
        <w:t xml:space="preserve"> </w:t>
      </w:r>
      <w:r w:rsidRPr="00246D07">
        <w:rPr>
          <w:rFonts w:cs="David" w:hint="cs"/>
          <w:sz w:val="24"/>
          <w:szCs w:val="24"/>
          <w:rtl/>
        </w:rPr>
        <w:t>המפרים</w:t>
      </w:r>
      <w:r w:rsidRPr="00246D07">
        <w:rPr>
          <w:rFonts w:cs="David"/>
          <w:sz w:val="24"/>
          <w:szCs w:val="24"/>
          <w:rtl/>
        </w:rPr>
        <w:t xml:space="preserve"> </w:t>
      </w:r>
      <w:r w:rsidRPr="00246D07">
        <w:rPr>
          <w:rFonts w:cs="David" w:hint="cs"/>
          <w:sz w:val="24"/>
          <w:szCs w:val="24"/>
          <w:rtl/>
        </w:rPr>
        <w:t>זכויות</w:t>
      </w:r>
      <w:r w:rsidRPr="00246D07">
        <w:rPr>
          <w:rFonts w:cs="David"/>
          <w:sz w:val="24"/>
          <w:szCs w:val="24"/>
          <w:rtl/>
        </w:rPr>
        <w:t xml:space="preserve"> </w:t>
      </w:r>
      <w:r w:rsidRPr="00246D07">
        <w:rPr>
          <w:rFonts w:cs="David" w:hint="cs"/>
          <w:sz w:val="24"/>
          <w:szCs w:val="24"/>
          <w:rtl/>
        </w:rPr>
        <w:t>יוצרים</w:t>
      </w:r>
      <w:r w:rsidRPr="00246D07">
        <w:rPr>
          <w:rFonts w:cs="David"/>
          <w:sz w:val="24"/>
          <w:szCs w:val="24"/>
          <w:rtl/>
        </w:rPr>
        <w:t xml:space="preserve">, </w:t>
      </w:r>
      <w:r w:rsidR="009D1BD2">
        <w:rPr>
          <w:rFonts w:cs="David" w:hint="cs"/>
          <w:sz w:val="24"/>
          <w:szCs w:val="24"/>
          <w:rtl/>
        </w:rPr>
        <w:t xml:space="preserve">זאת </w:t>
      </w:r>
      <w:r w:rsidRPr="00246D07">
        <w:rPr>
          <w:rFonts w:cs="David" w:hint="cs"/>
          <w:sz w:val="24"/>
          <w:szCs w:val="24"/>
          <w:rtl/>
        </w:rPr>
        <w:t>אם</w:t>
      </w:r>
      <w:r w:rsidRPr="00246D07">
        <w:rPr>
          <w:rFonts w:cs="David"/>
          <w:sz w:val="24"/>
          <w:szCs w:val="24"/>
          <w:rtl/>
        </w:rPr>
        <w:t xml:space="preserve">  </w:t>
      </w:r>
      <w:r w:rsidRPr="00246D07">
        <w:rPr>
          <w:rFonts w:cs="David" w:hint="cs"/>
          <w:sz w:val="24"/>
          <w:szCs w:val="24"/>
          <w:rtl/>
        </w:rPr>
        <w:t>סיפקו</w:t>
      </w:r>
      <w:r w:rsidRPr="00246D07">
        <w:rPr>
          <w:rFonts w:cs="David"/>
          <w:sz w:val="24"/>
          <w:szCs w:val="24"/>
          <w:rtl/>
        </w:rPr>
        <w:t xml:space="preserve"> </w:t>
      </w:r>
      <w:r w:rsidRPr="00246D07">
        <w:rPr>
          <w:rFonts w:cs="David" w:hint="cs"/>
          <w:sz w:val="24"/>
          <w:szCs w:val="24"/>
          <w:rtl/>
        </w:rPr>
        <w:t>ביודעין</w:t>
      </w:r>
      <w:r w:rsidRPr="00246D07">
        <w:rPr>
          <w:rFonts w:cs="David"/>
          <w:sz w:val="24"/>
          <w:szCs w:val="24"/>
          <w:rtl/>
        </w:rPr>
        <w:t xml:space="preserve"> </w:t>
      </w:r>
      <w:r w:rsidRPr="00246D07">
        <w:rPr>
          <w:rFonts w:cs="David" w:hint="cs"/>
          <w:sz w:val="24"/>
          <w:szCs w:val="24"/>
          <w:rtl/>
        </w:rPr>
        <w:t>את</w:t>
      </w:r>
      <w:r w:rsidRPr="00246D07">
        <w:rPr>
          <w:rFonts w:cs="David"/>
          <w:sz w:val="24"/>
          <w:szCs w:val="24"/>
          <w:rtl/>
        </w:rPr>
        <w:t xml:space="preserve"> </w:t>
      </w:r>
      <w:r w:rsidRPr="00246D07">
        <w:rPr>
          <w:rFonts w:cs="David" w:hint="cs"/>
          <w:sz w:val="24"/>
          <w:szCs w:val="24"/>
          <w:rtl/>
        </w:rPr>
        <w:t>האמצעים</w:t>
      </w:r>
      <w:r w:rsidRPr="00246D07">
        <w:rPr>
          <w:rFonts w:cs="David"/>
          <w:sz w:val="24"/>
          <w:szCs w:val="24"/>
          <w:rtl/>
        </w:rPr>
        <w:t xml:space="preserve"> </w:t>
      </w:r>
      <w:r w:rsidRPr="00246D07">
        <w:rPr>
          <w:rFonts w:cs="David" w:hint="cs"/>
          <w:sz w:val="24"/>
          <w:szCs w:val="24"/>
          <w:rtl/>
        </w:rPr>
        <w:t>כדי</w:t>
      </w:r>
      <w:r w:rsidRPr="00246D07">
        <w:rPr>
          <w:rFonts w:cs="David"/>
          <w:sz w:val="24"/>
          <w:szCs w:val="24"/>
          <w:rtl/>
        </w:rPr>
        <w:t xml:space="preserve"> </w:t>
      </w:r>
      <w:r w:rsidRPr="00246D07">
        <w:rPr>
          <w:rFonts w:cs="David" w:hint="cs"/>
          <w:sz w:val="24"/>
          <w:szCs w:val="24"/>
          <w:rtl/>
        </w:rPr>
        <w:t>לאפשר</w:t>
      </w:r>
      <w:r w:rsidRPr="00246D07">
        <w:rPr>
          <w:rFonts w:cs="David"/>
          <w:sz w:val="24"/>
          <w:szCs w:val="24"/>
          <w:rtl/>
        </w:rPr>
        <w:t xml:space="preserve"> </w:t>
      </w:r>
      <w:r w:rsidRPr="00246D07">
        <w:rPr>
          <w:rFonts w:cs="David" w:hint="cs"/>
          <w:sz w:val="24"/>
          <w:szCs w:val="24"/>
          <w:rtl/>
        </w:rPr>
        <w:t>את</w:t>
      </w:r>
      <w:r w:rsidRPr="00246D07">
        <w:rPr>
          <w:rFonts w:cs="David"/>
          <w:sz w:val="24"/>
          <w:szCs w:val="24"/>
          <w:rtl/>
        </w:rPr>
        <w:t xml:space="preserve"> </w:t>
      </w:r>
      <w:r w:rsidRPr="00246D07">
        <w:rPr>
          <w:rFonts w:cs="David" w:hint="cs"/>
          <w:sz w:val="24"/>
          <w:szCs w:val="24"/>
          <w:rtl/>
        </w:rPr>
        <w:t>ההפרה</w:t>
      </w:r>
      <w:r w:rsidRPr="00246D07">
        <w:rPr>
          <w:rFonts w:cs="David"/>
          <w:sz w:val="24"/>
          <w:szCs w:val="24"/>
          <w:rtl/>
        </w:rPr>
        <w:t xml:space="preserve"> </w:t>
      </w:r>
      <w:r w:rsidR="007D60C2">
        <w:rPr>
          <w:rFonts w:cs="David" w:hint="cs"/>
          <w:sz w:val="24"/>
          <w:szCs w:val="24"/>
          <w:rtl/>
        </w:rPr>
        <w:t>ואם לא פעלו בזהירות סבירה. נדרש כי האתר המפר יכלול תכנים מפרים או, אם הוא כולל תכנים שאינם מפרים, כי התוכן החוקי חסר משמעות ביחס לתכנים הלא חוקיים.</w:t>
      </w:r>
    </w:p>
    <w:p w:rsidR="00246D07" w:rsidRDefault="00246D07" w:rsidP="000B2FE9">
      <w:pPr>
        <w:spacing w:afterLines="120" w:after="288" w:line="360" w:lineRule="auto"/>
        <w:contextualSpacing/>
        <w:jc w:val="both"/>
        <w:rPr>
          <w:rFonts w:cs="David"/>
          <w:sz w:val="24"/>
          <w:szCs w:val="24"/>
          <w:rtl/>
        </w:rPr>
      </w:pPr>
      <w:r w:rsidRPr="00246D07">
        <w:rPr>
          <w:rFonts w:cs="David" w:hint="cs"/>
          <w:sz w:val="24"/>
          <w:szCs w:val="24"/>
          <w:rtl/>
        </w:rPr>
        <w:t>בית</w:t>
      </w:r>
      <w:r w:rsidRPr="00246D07">
        <w:rPr>
          <w:rFonts w:cs="David"/>
          <w:sz w:val="24"/>
          <w:szCs w:val="24"/>
          <w:rtl/>
        </w:rPr>
        <w:t xml:space="preserve"> </w:t>
      </w:r>
      <w:r w:rsidRPr="00246D07">
        <w:rPr>
          <w:rFonts w:cs="David" w:hint="cs"/>
          <w:sz w:val="24"/>
          <w:szCs w:val="24"/>
          <w:rtl/>
        </w:rPr>
        <w:t>המשפט</w:t>
      </w:r>
      <w:r w:rsidRPr="00246D07">
        <w:rPr>
          <w:rFonts w:cs="David"/>
          <w:sz w:val="24"/>
          <w:szCs w:val="24"/>
          <w:rtl/>
        </w:rPr>
        <w:t xml:space="preserve"> </w:t>
      </w:r>
      <w:r w:rsidR="00E20B25">
        <w:rPr>
          <w:rFonts w:cs="David" w:hint="cs"/>
          <w:sz w:val="24"/>
          <w:szCs w:val="24"/>
          <w:rtl/>
        </w:rPr>
        <w:t xml:space="preserve">בחן את האיזונים בין </w:t>
      </w:r>
      <w:r w:rsidRPr="00246D07">
        <w:rPr>
          <w:rFonts w:cs="David" w:hint="cs"/>
          <w:sz w:val="24"/>
          <w:szCs w:val="24"/>
          <w:rtl/>
        </w:rPr>
        <w:t>חופש</w:t>
      </w:r>
      <w:r w:rsidRPr="00246D07">
        <w:rPr>
          <w:rFonts w:cs="David"/>
          <w:sz w:val="24"/>
          <w:szCs w:val="24"/>
          <w:rtl/>
        </w:rPr>
        <w:t xml:space="preserve"> </w:t>
      </w:r>
      <w:r w:rsidRPr="00246D07">
        <w:rPr>
          <w:rFonts w:cs="David" w:hint="cs"/>
          <w:sz w:val="24"/>
          <w:szCs w:val="24"/>
          <w:rtl/>
        </w:rPr>
        <w:t>הביטוי</w:t>
      </w:r>
      <w:r w:rsidRPr="00246D07">
        <w:rPr>
          <w:rFonts w:cs="David"/>
          <w:sz w:val="24"/>
          <w:szCs w:val="24"/>
          <w:rtl/>
        </w:rPr>
        <w:t xml:space="preserve"> </w:t>
      </w:r>
      <w:r w:rsidRPr="00246D07">
        <w:rPr>
          <w:rFonts w:cs="David" w:hint="cs"/>
          <w:sz w:val="24"/>
          <w:szCs w:val="24"/>
          <w:rtl/>
        </w:rPr>
        <w:t>של</w:t>
      </w:r>
      <w:r w:rsidRPr="00246D07">
        <w:rPr>
          <w:rFonts w:cs="David"/>
          <w:sz w:val="24"/>
          <w:szCs w:val="24"/>
          <w:rtl/>
        </w:rPr>
        <w:t xml:space="preserve"> </w:t>
      </w:r>
      <w:r w:rsidRPr="00246D07">
        <w:rPr>
          <w:rFonts w:cs="David" w:hint="cs"/>
          <w:sz w:val="24"/>
          <w:szCs w:val="24"/>
          <w:rtl/>
        </w:rPr>
        <w:t>ספקי</w:t>
      </w:r>
      <w:r w:rsidR="009D1BD2">
        <w:rPr>
          <w:rFonts w:cs="David" w:hint="cs"/>
          <w:sz w:val="24"/>
          <w:szCs w:val="24"/>
          <w:rtl/>
        </w:rPr>
        <w:t>ות</w:t>
      </w:r>
      <w:r w:rsidRPr="00246D07">
        <w:rPr>
          <w:rFonts w:cs="David"/>
          <w:sz w:val="24"/>
          <w:szCs w:val="24"/>
          <w:rtl/>
        </w:rPr>
        <w:t xml:space="preserve"> </w:t>
      </w:r>
      <w:r w:rsidRPr="00246D07">
        <w:rPr>
          <w:rFonts w:cs="David" w:hint="cs"/>
          <w:sz w:val="24"/>
          <w:szCs w:val="24"/>
          <w:rtl/>
        </w:rPr>
        <w:t>הגישה</w:t>
      </w:r>
      <w:r w:rsidRPr="00246D07">
        <w:rPr>
          <w:rFonts w:cs="David"/>
          <w:sz w:val="24"/>
          <w:szCs w:val="24"/>
          <w:rtl/>
        </w:rPr>
        <w:t xml:space="preserve"> </w:t>
      </w:r>
      <w:r w:rsidR="00E20B25">
        <w:rPr>
          <w:rFonts w:cs="David" w:hint="cs"/>
          <w:sz w:val="24"/>
          <w:szCs w:val="24"/>
          <w:rtl/>
        </w:rPr>
        <w:t>לבין</w:t>
      </w:r>
      <w:r w:rsidRPr="00246D07">
        <w:rPr>
          <w:rFonts w:cs="David"/>
          <w:sz w:val="24"/>
          <w:szCs w:val="24"/>
          <w:rtl/>
        </w:rPr>
        <w:t xml:space="preserve"> </w:t>
      </w:r>
      <w:r w:rsidRPr="00246D07">
        <w:rPr>
          <w:rFonts w:cs="David" w:hint="cs"/>
          <w:sz w:val="24"/>
          <w:szCs w:val="24"/>
          <w:rtl/>
        </w:rPr>
        <w:t>זכות</w:t>
      </w:r>
      <w:r w:rsidRPr="00246D07">
        <w:rPr>
          <w:rFonts w:cs="David"/>
          <w:sz w:val="24"/>
          <w:szCs w:val="24"/>
          <w:rtl/>
        </w:rPr>
        <w:t xml:space="preserve"> </w:t>
      </w:r>
      <w:r w:rsidRPr="00246D07">
        <w:rPr>
          <w:rFonts w:cs="David" w:hint="cs"/>
          <w:sz w:val="24"/>
          <w:szCs w:val="24"/>
          <w:rtl/>
        </w:rPr>
        <w:t>הקניין</w:t>
      </w:r>
      <w:r w:rsidRPr="00246D07">
        <w:rPr>
          <w:rFonts w:cs="David"/>
          <w:sz w:val="24"/>
          <w:szCs w:val="24"/>
          <w:rtl/>
        </w:rPr>
        <w:t xml:space="preserve"> </w:t>
      </w:r>
      <w:r w:rsidR="00E20B25">
        <w:rPr>
          <w:rFonts w:cs="David" w:hint="cs"/>
          <w:sz w:val="24"/>
          <w:szCs w:val="24"/>
          <w:rtl/>
        </w:rPr>
        <w:t>של</w:t>
      </w:r>
      <w:r w:rsidRPr="00246D07">
        <w:rPr>
          <w:rFonts w:cs="David"/>
          <w:sz w:val="24"/>
          <w:szCs w:val="24"/>
          <w:rtl/>
        </w:rPr>
        <w:t xml:space="preserve"> </w:t>
      </w:r>
      <w:r w:rsidRPr="00246D07">
        <w:rPr>
          <w:rFonts w:cs="David" w:hint="cs"/>
          <w:sz w:val="24"/>
          <w:szCs w:val="24"/>
          <w:rtl/>
        </w:rPr>
        <w:t>בעל</w:t>
      </w:r>
      <w:r w:rsidRPr="00246D07">
        <w:rPr>
          <w:rFonts w:cs="David"/>
          <w:sz w:val="24"/>
          <w:szCs w:val="24"/>
          <w:rtl/>
        </w:rPr>
        <w:t xml:space="preserve"> </w:t>
      </w:r>
      <w:r w:rsidRPr="00246D07">
        <w:rPr>
          <w:rFonts w:cs="David" w:hint="cs"/>
          <w:sz w:val="24"/>
          <w:szCs w:val="24"/>
          <w:rtl/>
        </w:rPr>
        <w:t>זכויות</w:t>
      </w:r>
      <w:r w:rsidRPr="00246D07">
        <w:rPr>
          <w:rFonts w:cs="David"/>
          <w:sz w:val="24"/>
          <w:szCs w:val="24"/>
          <w:rtl/>
        </w:rPr>
        <w:t xml:space="preserve"> </w:t>
      </w:r>
      <w:r w:rsidRPr="00246D07">
        <w:rPr>
          <w:rFonts w:cs="David" w:hint="cs"/>
          <w:sz w:val="24"/>
          <w:szCs w:val="24"/>
          <w:rtl/>
        </w:rPr>
        <w:t>היוצרים</w:t>
      </w:r>
      <w:r w:rsidR="00E20B25">
        <w:rPr>
          <w:rFonts w:cs="David" w:hint="cs"/>
          <w:sz w:val="24"/>
          <w:szCs w:val="24"/>
          <w:rtl/>
        </w:rPr>
        <w:t xml:space="preserve"> וקבע כי על מנת לקבל צו חסימה נדרש כי</w:t>
      </w:r>
      <w:r w:rsidRPr="00246D07">
        <w:rPr>
          <w:rFonts w:cs="David"/>
          <w:sz w:val="24"/>
          <w:szCs w:val="24"/>
          <w:rtl/>
        </w:rPr>
        <w:t xml:space="preserve"> </w:t>
      </w:r>
      <w:r w:rsidRPr="00246D07">
        <w:rPr>
          <w:rFonts w:cs="David" w:hint="cs"/>
          <w:sz w:val="24"/>
          <w:szCs w:val="24"/>
          <w:rtl/>
        </w:rPr>
        <w:t>ספק</w:t>
      </w:r>
      <w:r w:rsidRPr="00246D07">
        <w:rPr>
          <w:rFonts w:cs="David"/>
          <w:sz w:val="24"/>
          <w:szCs w:val="24"/>
          <w:rtl/>
        </w:rPr>
        <w:t xml:space="preserve"> </w:t>
      </w:r>
      <w:r w:rsidRPr="00246D07">
        <w:rPr>
          <w:rFonts w:cs="David" w:hint="cs"/>
          <w:sz w:val="24"/>
          <w:szCs w:val="24"/>
          <w:rtl/>
        </w:rPr>
        <w:t>הגישה</w:t>
      </w:r>
      <w:r w:rsidRPr="00246D07">
        <w:rPr>
          <w:rFonts w:cs="David"/>
          <w:sz w:val="24"/>
          <w:szCs w:val="24"/>
          <w:rtl/>
        </w:rPr>
        <w:t xml:space="preserve"> </w:t>
      </w:r>
      <w:r w:rsidR="00E20B25">
        <w:rPr>
          <w:rFonts w:cs="David" w:hint="cs"/>
          <w:sz w:val="24"/>
          <w:szCs w:val="24"/>
          <w:rtl/>
        </w:rPr>
        <w:t>י</w:t>
      </w:r>
      <w:r w:rsidRPr="00246D07">
        <w:rPr>
          <w:rFonts w:cs="David" w:hint="cs"/>
          <w:sz w:val="24"/>
          <w:szCs w:val="24"/>
          <w:rtl/>
        </w:rPr>
        <w:t>קבל</w:t>
      </w:r>
      <w:r w:rsidRPr="00246D07">
        <w:rPr>
          <w:rFonts w:cs="David"/>
          <w:sz w:val="24"/>
          <w:szCs w:val="24"/>
          <w:rtl/>
        </w:rPr>
        <w:t xml:space="preserve"> </w:t>
      </w:r>
      <w:r w:rsidRPr="00246D07">
        <w:rPr>
          <w:rFonts w:cs="David" w:hint="cs"/>
          <w:sz w:val="24"/>
          <w:szCs w:val="24"/>
          <w:rtl/>
        </w:rPr>
        <w:t>הודעה</w:t>
      </w:r>
      <w:r w:rsidRPr="00246D07">
        <w:rPr>
          <w:rFonts w:cs="David"/>
          <w:sz w:val="24"/>
          <w:szCs w:val="24"/>
          <w:rtl/>
        </w:rPr>
        <w:t xml:space="preserve"> </w:t>
      </w:r>
      <w:r w:rsidR="00E20B25">
        <w:rPr>
          <w:rFonts w:cs="David" w:hint="cs"/>
          <w:sz w:val="24"/>
          <w:szCs w:val="24"/>
          <w:rtl/>
        </w:rPr>
        <w:t>מ</w:t>
      </w:r>
      <w:r w:rsidRPr="00246D07">
        <w:rPr>
          <w:rFonts w:cs="David" w:hint="cs"/>
          <w:sz w:val="24"/>
          <w:szCs w:val="24"/>
          <w:rtl/>
        </w:rPr>
        <w:t>בעל</w:t>
      </w:r>
      <w:r w:rsidRPr="00246D07">
        <w:rPr>
          <w:rFonts w:cs="David"/>
          <w:sz w:val="24"/>
          <w:szCs w:val="24"/>
          <w:rtl/>
        </w:rPr>
        <w:t xml:space="preserve"> </w:t>
      </w:r>
      <w:r w:rsidRPr="00246D07">
        <w:rPr>
          <w:rFonts w:cs="David" w:hint="cs"/>
          <w:sz w:val="24"/>
          <w:szCs w:val="24"/>
          <w:rtl/>
        </w:rPr>
        <w:t>הזכויות</w:t>
      </w:r>
      <w:r w:rsidRPr="00246D07">
        <w:rPr>
          <w:rFonts w:cs="David"/>
          <w:sz w:val="24"/>
          <w:szCs w:val="24"/>
          <w:rtl/>
        </w:rPr>
        <w:t xml:space="preserve"> </w:t>
      </w:r>
      <w:r w:rsidRPr="00246D07">
        <w:rPr>
          <w:rFonts w:cs="David" w:hint="cs"/>
          <w:sz w:val="24"/>
          <w:szCs w:val="24"/>
          <w:rtl/>
        </w:rPr>
        <w:t>על</w:t>
      </w:r>
      <w:r w:rsidRPr="00246D07">
        <w:rPr>
          <w:rFonts w:cs="David"/>
          <w:sz w:val="24"/>
          <w:szCs w:val="24"/>
          <w:rtl/>
        </w:rPr>
        <w:t xml:space="preserve"> </w:t>
      </w:r>
      <w:r w:rsidR="00E20B25">
        <w:rPr>
          <w:rFonts w:cs="David" w:hint="cs"/>
          <w:sz w:val="24"/>
          <w:szCs w:val="24"/>
          <w:rtl/>
        </w:rPr>
        <w:t>ה</w:t>
      </w:r>
      <w:r w:rsidRPr="00246D07">
        <w:rPr>
          <w:rFonts w:cs="David" w:hint="cs"/>
          <w:sz w:val="24"/>
          <w:szCs w:val="24"/>
          <w:rtl/>
        </w:rPr>
        <w:t>הפרות</w:t>
      </w:r>
      <w:r w:rsidR="00E20B25">
        <w:rPr>
          <w:rFonts w:cs="David" w:hint="cs"/>
          <w:sz w:val="24"/>
          <w:szCs w:val="24"/>
          <w:rtl/>
        </w:rPr>
        <w:t xml:space="preserve"> הנטענות. כן נדרש כי</w:t>
      </w:r>
      <w:r w:rsidRPr="00246D07">
        <w:rPr>
          <w:rFonts w:cs="David"/>
          <w:sz w:val="24"/>
          <w:szCs w:val="24"/>
          <w:rtl/>
        </w:rPr>
        <w:t xml:space="preserve"> </w:t>
      </w:r>
      <w:r w:rsidRPr="00246D07">
        <w:rPr>
          <w:rFonts w:cs="David" w:hint="cs"/>
          <w:sz w:val="24"/>
          <w:szCs w:val="24"/>
          <w:rtl/>
        </w:rPr>
        <w:t>בעלי</w:t>
      </w:r>
      <w:r w:rsidRPr="00246D07">
        <w:rPr>
          <w:rFonts w:cs="David"/>
          <w:sz w:val="24"/>
          <w:szCs w:val="24"/>
          <w:rtl/>
        </w:rPr>
        <w:t xml:space="preserve"> </w:t>
      </w:r>
      <w:r w:rsidRPr="00246D07">
        <w:rPr>
          <w:rFonts w:cs="David" w:hint="cs"/>
          <w:sz w:val="24"/>
          <w:szCs w:val="24"/>
          <w:rtl/>
        </w:rPr>
        <w:t>הזכויות</w:t>
      </w:r>
      <w:r w:rsidRPr="00246D07">
        <w:rPr>
          <w:rFonts w:cs="David"/>
          <w:sz w:val="24"/>
          <w:szCs w:val="24"/>
          <w:rtl/>
        </w:rPr>
        <w:t xml:space="preserve"> </w:t>
      </w:r>
      <w:r w:rsidR="000B2FE9">
        <w:rPr>
          <w:rFonts w:cs="David" w:hint="cs"/>
          <w:sz w:val="24"/>
          <w:szCs w:val="24"/>
          <w:rtl/>
        </w:rPr>
        <w:t xml:space="preserve">מיצו את ההליכים מול </w:t>
      </w:r>
      <w:r w:rsidRPr="00246D07">
        <w:rPr>
          <w:rFonts w:cs="David" w:hint="cs"/>
          <w:sz w:val="24"/>
          <w:szCs w:val="24"/>
          <w:rtl/>
        </w:rPr>
        <w:t>המפר</w:t>
      </w:r>
      <w:r w:rsidRPr="00246D07">
        <w:rPr>
          <w:rFonts w:cs="David"/>
          <w:sz w:val="24"/>
          <w:szCs w:val="24"/>
          <w:rtl/>
        </w:rPr>
        <w:t xml:space="preserve"> </w:t>
      </w:r>
      <w:r w:rsidRPr="00246D07">
        <w:rPr>
          <w:rFonts w:cs="David" w:hint="cs"/>
          <w:sz w:val="24"/>
          <w:szCs w:val="24"/>
          <w:rtl/>
        </w:rPr>
        <w:t>העיקרי</w:t>
      </w:r>
      <w:r w:rsidRPr="00246D07">
        <w:rPr>
          <w:rFonts w:cs="David"/>
          <w:sz w:val="24"/>
          <w:szCs w:val="24"/>
          <w:rtl/>
        </w:rPr>
        <w:t xml:space="preserve">, </w:t>
      </w:r>
      <w:r w:rsidRPr="00246D07">
        <w:rPr>
          <w:rFonts w:cs="David" w:hint="cs"/>
          <w:sz w:val="24"/>
          <w:szCs w:val="24"/>
          <w:rtl/>
        </w:rPr>
        <w:t>כגון</w:t>
      </w:r>
      <w:r w:rsidRPr="00246D07">
        <w:rPr>
          <w:rFonts w:cs="David"/>
          <w:sz w:val="24"/>
          <w:szCs w:val="24"/>
          <w:rtl/>
        </w:rPr>
        <w:t xml:space="preserve"> </w:t>
      </w:r>
      <w:r w:rsidRPr="00246D07">
        <w:rPr>
          <w:rFonts w:cs="David" w:hint="cs"/>
          <w:sz w:val="24"/>
          <w:szCs w:val="24"/>
          <w:rtl/>
        </w:rPr>
        <w:t>מפעיל</w:t>
      </w:r>
      <w:r w:rsidRPr="00246D07">
        <w:rPr>
          <w:rFonts w:cs="David"/>
          <w:sz w:val="24"/>
          <w:szCs w:val="24"/>
          <w:rtl/>
        </w:rPr>
        <w:t xml:space="preserve"> </w:t>
      </w:r>
      <w:r w:rsidRPr="00246D07">
        <w:rPr>
          <w:rFonts w:cs="David" w:hint="cs"/>
          <w:sz w:val="24"/>
          <w:szCs w:val="24"/>
          <w:rtl/>
        </w:rPr>
        <w:t>האתר</w:t>
      </w:r>
      <w:r w:rsidRPr="00246D07">
        <w:rPr>
          <w:rFonts w:cs="David"/>
          <w:sz w:val="24"/>
          <w:szCs w:val="24"/>
          <w:rtl/>
        </w:rPr>
        <w:t xml:space="preserve"> </w:t>
      </w:r>
      <w:r w:rsidRPr="00246D07">
        <w:rPr>
          <w:rFonts w:cs="David" w:hint="cs"/>
          <w:sz w:val="24"/>
          <w:szCs w:val="24"/>
          <w:rtl/>
        </w:rPr>
        <w:t>או</w:t>
      </w:r>
      <w:r w:rsidRPr="00246D07">
        <w:rPr>
          <w:rFonts w:cs="David"/>
          <w:sz w:val="24"/>
          <w:szCs w:val="24"/>
          <w:rtl/>
        </w:rPr>
        <w:t xml:space="preserve"> </w:t>
      </w:r>
      <w:r w:rsidRPr="00246D07">
        <w:rPr>
          <w:rFonts w:cs="David" w:hint="cs"/>
          <w:sz w:val="24"/>
          <w:szCs w:val="24"/>
          <w:rtl/>
        </w:rPr>
        <w:t>ספק</w:t>
      </w:r>
      <w:r w:rsidRPr="00246D07">
        <w:rPr>
          <w:rFonts w:cs="David"/>
          <w:sz w:val="24"/>
          <w:szCs w:val="24"/>
          <w:rtl/>
        </w:rPr>
        <w:t xml:space="preserve"> </w:t>
      </w:r>
      <w:r w:rsidR="00E20B25">
        <w:rPr>
          <w:rFonts w:cs="David" w:hint="cs"/>
          <w:sz w:val="24"/>
          <w:szCs w:val="24"/>
          <w:rtl/>
        </w:rPr>
        <w:t>שירותי האירוח</w:t>
      </w:r>
      <w:r w:rsidRPr="00246D07">
        <w:rPr>
          <w:rFonts w:cs="David"/>
          <w:sz w:val="24"/>
          <w:szCs w:val="24"/>
          <w:rtl/>
        </w:rPr>
        <w:t xml:space="preserve">, </w:t>
      </w:r>
      <w:r w:rsidRPr="00246D07">
        <w:rPr>
          <w:rFonts w:cs="David" w:hint="cs"/>
          <w:sz w:val="24"/>
          <w:szCs w:val="24"/>
          <w:rtl/>
        </w:rPr>
        <w:t>ולא</w:t>
      </w:r>
      <w:r w:rsidRPr="00246D07">
        <w:rPr>
          <w:rFonts w:cs="David"/>
          <w:sz w:val="24"/>
          <w:szCs w:val="24"/>
          <w:rtl/>
        </w:rPr>
        <w:t xml:space="preserve"> </w:t>
      </w:r>
      <w:r w:rsidRPr="00246D07">
        <w:rPr>
          <w:rFonts w:cs="David" w:hint="cs"/>
          <w:sz w:val="24"/>
          <w:szCs w:val="24"/>
          <w:rtl/>
        </w:rPr>
        <w:t>הצליחו</w:t>
      </w:r>
      <w:r w:rsidRPr="00246D07">
        <w:rPr>
          <w:rFonts w:cs="David"/>
          <w:sz w:val="24"/>
          <w:szCs w:val="24"/>
          <w:rtl/>
        </w:rPr>
        <w:t xml:space="preserve"> </w:t>
      </w:r>
      <w:r w:rsidRPr="00246D07">
        <w:rPr>
          <w:rFonts w:cs="David" w:hint="cs"/>
          <w:sz w:val="24"/>
          <w:szCs w:val="24"/>
          <w:rtl/>
        </w:rPr>
        <w:t>להפסיק</w:t>
      </w:r>
      <w:r w:rsidRPr="00246D07">
        <w:rPr>
          <w:rFonts w:cs="David"/>
          <w:sz w:val="24"/>
          <w:szCs w:val="24"/>
          <w:rtl/>
        </w:rPr>
        <w:t xml:space="preserve"> </w:t>
      </w:r>
      <w:r w:rsidRPr="00246D07">
        <w:rPr>
          <w:rFonts w:cs="David" w:hint="cs"/>
          <w:sz w:val="24"/>
          <w:szCs w:val="24"/>
          <w:rtl/>
        </w:rPr>
        <w:t>את</w:t>
      </w:r>
      <w:r w:rsidRPr="00246D07">
        <w:rPr>
          <w:rFonts w:cs="David"/>
          <w:sz w:val="24"/>
          <w:szCs w:val="24"/>
          <w:rtl/>
        </w:rPr>
        <w:t xml:space="preserve"> </w:t>
      </w:r>
      <w:r w:rsidRPr="00246D07">
        <w:rPr>
          <w:rFonts w:cs="David" w:hint="cs"/>
          <w:sz w:val="24"/>
          <w:szCs w:val="24"/>
          <w:rtl/>
        </w:rPr>
        <w:t>ההפרה</w:t>
      </w:r>
      <w:r w:rsidR="000B2FE9">
        <w:rPr>
          <w:rFonts w:cs="David" w:hint="cs"/>
          <w:sz w:val="24"/>
          <w:szCs w:val="24"/>
          <w:rtl/>
        </w:rPr>
        <w:t>, בטרם קבלת הצו,</w:t>
      </w:r>
      <w:r w:rsidRPr="00246D07">
        <w:rPr>
          <w:rFonts w:cs="David"/>
          <w:sz w:val="24"/>
          <w:szCs w:val="24"/>
          <w:rtl/>
        </w:rPr>
        <w:t xml:space="preserve"> </w:t>
      </w:r>
      <w:r w:rsidRPr="00246D07">
        <w:rPr>
          <w:rFonts w:cs="David" w:hint="cs"/>
          <w:sz w:val="24"/>
          <w:szCs w:val="24"/>
          <w:rtl/>
        </w:rPr>
        <w:t>או</w:t>
      </w:r>
      <w:r w:rsidRPr="00246D07">
        <w:rPr>
          <w:rFonts w:cs="David"/>
          <w:sz w:val="24"/>
          <w:szCs w:val="24"/>
          <w:rtl/>
        </w:rPr>
        <w:t xml:space="preserve"> </w:t>
      </w:r>
      <w:r w:rsidRPr="00246D07">
        <w:rPr>
          <w:rFonts w:cs="David" w:hint="cs"/>
          <w:sz w:val="24"/>
          <w:szCs w:val="24"/>
          <w:rtl/>
        </w:rPr>
        <w:t>שברור</w:t>
      </w:r>
      <w:r w:rsidRPr="00246D07">
        <w:rPr>
          <w:rFonts w:cs="David"/>
          <w:sz w:val="24"/>
          <w:szCs w:val="24"/>
          <w:rtl/>
        </w:rPr>
        <w:t xml:space="preserve"> </w:t>
      </w:r>
      <w:r w:rsidRPr="00246D07">
        <w:rPr>
          <w:rFonts w:cs="David" w:hint="cs"/>
          <w:sz w:val="24"/>
          <w:szCs w:val="24"/>
          <w:rtl/>
        </w:rPr>
        <w:t>מלכתחילה</w:t>
      </w:r>
      <w:r w:rsidRPr="00246D07">
        <w:rPr>
          <w:rFonts w:cs="David"/>
          <w:sz w:val="24"/>
          <w:szCs w:val="24"/>
          <w:rtl/>
        </w:rPr>
        <w:t xml:space="preserve"> </w:t>
      </w:r>
      <w:r w:rsidRPr="00246D07">
        <w:rPr>
          <w:rFonts w:cs="David" w:hint="cs"/>
          <w:sz w:val="24"/>
          <w:szCs w:val="24"/>
          <w:rtl/>
        </w:rPr>
        <w:t>כי</w:t>
      </w:r>
      <w:r w:rsidRPr="00246D07">
        <w:rPr>
          <w:rFonts w:cs="David"/>
          <w:sz w:val="24"/>
          <w:szCs w:val="24"/>
          <w:rtl/>
        </w:rPr>
        <w:t xml:space="preserve"> </w:t>
      </w:r>
      <w:r w:rsidRPr="00246D07">
        <w:rPr>
          <w:rFonts w:cs="David" w:hint="cs"/>
          <w:sz w:val="24"/>
          <w:szCs w:val="24"/>
          <w:rtl/>
        </w:rPr>
        <w:t>אין</w:t>
      </w:r>
      <w:r w:rsidR="000B2FE9">
        <w:rPr>
          <w:rFonts w:cs="David" w:hint="cs"/>
          <w:sz w:val="24"/>
          <w:szCs w:val="24"/>
          <w:rtl/>
        </w:rPr>
        <w:t xml:space="preserve"> זה סביר שיצליחו למנוע את ההפרה העיקרית, למשל אם הוא אינו ידוע. </w:t>
      </w:r>
      <w:r w:rsidRPr="00246D07">
        <w:rPr>
          <w:rFonts w:cs="David" w:hint="cs"/>
          <w:sz w:val="24"/>
          <w:szCs w:val="24"/>
          <w:rtl/>
        </w:rPr>
        <w:t>על</w:t>
      </w:r>
      <w:r w:rsidRPr="00246D07">
        <w:rPr>
          <w:rFonts w:cs="David"/>
          <w:sz w:val="24"/>
          <w:szCs w:val="24"/>
          <w:rtl/>
        </w:rPr>
        <w:t xml:space="preserve"> </w:t>
      </w:r>
      <w:r w:rsidRPr="00246D07">
        <w:rPr>
          <w:rFonts w:cs="David" w:hint="cs"/>
          <w:sz w:val="24"/>
          <w:szCs w:val="24"/>
          <w:rtl/>
        </w:rPr>
        <w:t>בעלי</w:t>
      </w:r>
      <w:r w:rsidRPr="00246D07">
        <w:rPr>
          <w:rFonts w:cs="David"/>
          <w:sz w:val="24"/>
          <w:szCs w:val="24"/>
          <w:rtl/>
        </w:rPr>
        <w:t xml:space="preserve"> </w:t>
      </w:r>
      <w:r w:rsidR="000B2FE9">
        <w:rPr>
          <w:rFonts w:cs="David" w:hint="cs"/>
          <w:sz w:val="24"/>
          <w:szCs w:val="24"/>
          <w:rtl/>
        </w:rPr>
        <w:t>הזכויות</w:t>
      </w:r>
      <w:r w:rsidRPr="00246D07">
        <w:rPr>
          <w:rFonts w:cs="David"/>
          <w:sz w:val="24"/>
          <w:szCs w:val="24"/>
          <w:rtl/>
        </w:rPr>
        <w:t xml:space="preserve"> </w:t>
      </w:r>
      <w:r w:rsidRPr="00246D07">
        <w:rPr>
          <w:rFonts w:cs="David" w:hint="cs"/>
          <w:sz w:val="24"/>
          <w:szCs w:val="24"/>
          <w:rtl/>
        </w:rPr>
        <w:t>לנקוט</w:t>
      </w:r>
      <w:r w:rsidRPr="00246D07">
        <w:rPr>
          <w:rFonts w:cs="David"/>
          <w:sz w:val="24"/>
          <w:szCs w:val="24"/>
          <w:rtl/>
        </w:rPr>
        <w:t xml:space="preserve"> </w:t>
      </w:r>
      <w:r w:rsidR="000B2FE9">
        <w:rPr>
          <w:rFonts w:cs="David" w:hint="cs"/>
          <w:sz w:val="24"/>
          <w:szCs w:val="24"/>
          <w:rtl/>
        </w:rPr>
        <w:t>ב</w:t>
      </w:r>
      <w:r w:rsidRPr="00246D07">
        <w:rPr>
          <w:rFonts w:cs="David" w:hint="cs"/>
          <w:sz w:val="24"/>
          <w:szCs w:val="24"/>
          <w:rtl/>
        </w:rPr>
        <w:t>צעדים</w:t>
      </w:r>
      <w:r w:rsidRPr="00246D07">
        <w:rPr>
          <w:rFonts w:cs="David"/>
          <w:sz w:val="24"/>
          <w:szCs w:val="24"/>
          <w:rtl/>
        </w:rPr>
        <w:t xml:space="preserve"> </w:t>
      </w:r>
      <w:r w:rsidRPr="00246D07">
        <w:rPr>
          <w:rFonts w:cs="David" w:hint="cs"/>
          <w:sz w:val="24"/>
          <w:szCs w:val="24"/>
          <w:rtl/>
        </w:rPr>
        <w:t>סבירים</w:t>
      </w:r>
      <w:r w:rsidR="000B2FE9">
        <w:rPr>
          <w:rFonts w:cs="David" w:hint="cs"/>
          <w:sz w:val="24"/>
          <w:szCs w:val="24"/>
          <w:rtl/>
        </w:rPr>
        <w:t>, כגון</w:t>
      </w:r>
      <w:r w:rsidRPr="00246D07">
        <w:rPr>
          <w:rFonts w:cs="David"/>
          <w:sz w:val="24"/>
          <w:szCs w:val="24"/>
          <w:rtl/>
        </w:rPr>
        <w:t xml:space="preserve"> </w:t>
      </w:r>
      <w:r w:rsidR="000B2FE9">
        <w:rPr>
          <w:rFonts w:cs="David" w:hint="cs"/>
          <w:sz w:val="24"/>
          <w:szCs w:val="24"/>
          <w:rtl/>
        </w:rPr>
        <w:t>העסקת</w:t>
      </w:r>
      <w:r w:rsidRPr="00246D07">
        <w:rPr>
          <w:rFonts w:cs="David"/>
          <w:sz w:val="24"/>
          <w:szCs w:val="24"/>
          <w:rtl/>
        </w:rPr>
        <w:t xml:space="preserve"> </w:t>
      </w:r>
      <w:r w:rsidRPr="00246D07">
        <w:rPr>
          <w:rFonts w:cs="David" w:hint="cs"/>
          <w:sz w:val="24"/>
          <w:szCs w:val="24"/>
          <w:rtl/>
        </w:rPr>
        <w:t>חוקר</w:t>
      </w:r>
      <w:r w:rsidRPr="00246D07">
        <w:rPr>
          <w:rFonts w:cs="David"/>
          <w:sz w:val="24"/>
          <w:szCs w:val="24"/>
          <w:rtl/>
        </w:rPr>
        <w:t xml:space="preserve"> </w:t>
      </w:r>
      <w:r w:rsidRPr="00246D07">
        <w:rPr>
          <w:rFonts w:cs="David" w:hint="cs"/>
          <w:sz w:val="24"/>
          <w:szCs w:val="24"/>
          <w:rtl/>
        </w:rPr>
        <w:t>פרטי</w:t>
      </w:r>
      <w:r w:rsidRPr="00246D07">
        <w:rPr>
          <w:rFonts w:cs="David"/>
          <w:sz w:val="24"/>
          <w:szCs w:val="24"/>
          <w:rtl/>
        </w:rPr>
        <w:t xml:space="preserve"> </w:t>
      </w:r>
      <w:r w:rsidRPr="00246D07">
        <w:rPr>
          <w:rFonts w:cs="David" w:hint="cs"/>
          <w:sz w:val="24"/>
          <w:szCs w:val="24"/>
          <w:rtl/>
        </w:rPr>
        <w:t>או</w:t>
      </w:r>
      <w:r w:rsidRPr="00246D07">
        <w:rPr>
          <w:rFonts w:cs="David"/>
          <w:sz w:val="24"/>
          <w:szCs w:val="24"/>
          <w:rtl/>
        </w:rPr>
        <w:t xml:space="preserve"> </w:t>
      </w:r>
      <w:r w:rsidR="000B2FE9">
        <w:rPr>
          <w:rFonts w:cs="David" w:hint="cs"/>
          <w:sz w:val="24"/>
          <w:szCs w:val="24"/>
          <w:rtl/>
        </w:rPr>
        <w:t>פניה ל</w:t>
      </w:r>
      <w:r w:rsidRPr="00246D07">
        <w:rPr>
          <w:rFonts w:cs="David" w:hint="cs"/>
          <w:sz w:val="24"/>
          <w:szCs w:val="24"/>
          <w:rtl/>
        </w:rPr>
        <w:t>רשויות</w:t>
      </w:r>
      <w:r w:rsidRPr="00246D07">
        <w:rPr>
          <w:rFonts w:cs="David"/>
          <w:sz w:val="24"/>
          <w:szCs w:val="24"/>
          <w:rtl/>
        </w:rPr>
        <w:t xml:space="preserve"> </w:t>
      </w:r>
      <w:r w:rsidRPr="00246D07">
        <w:rPr>
          <w:rFonts w:cs="David" w:hint="cs"/>
          <w:sz w:val="24"/>
          <w:szCs w:val="24"/>
          <w:rtl/>
        </w:rPr>
        <w:t>התביעה</w:t>
      </w:r>
      <w:r w:rsidRPr="00246D07">
        <w:rPr>
          <w:rFonts w:cs="David"/>
          <w:sz w:val="24"/>
          <w:szCs w:val="24"/>
          <w:rtl/>
        </w:rPr>
        <w:t xml:space="preserve"> </w:t>
      </w:r>
      <w:r w:rsidRPr="00246D07">
        <w:rPr>
          <w:rFonts w:cs="David" w:hint="cs"/>
          <w:sz w:val="24"/>
          <w:szCs w:val="24"/>
          <w:rtl/>
        </w:rPr>
        <w:t>הפלילית</w:t>
      </w:r>
      <w:r w:rsidR="000B2FE9">
        <w:rPr>
          <w:rFonts w:cs="David" w:hint="cs"/>
          <w:sz w:val="24"/>
          <w:szCs w:val="24"/>
          <w:rtl/>
        </w:rPr>
        <w:t>,</w:t>
      </w:r>
      <w:r w:rsidRPr="00246D07">
        <w:rPr>
          <w:rFonts w:cs="David"/>
          <w:sz w:val="24"/>
          <w:szCs w:val="24"/>
          <w:rtl/>
        </w:rPr>
        <w:t xml:space="preserve"> </w:t>
      </w:r>
      <w:r w:rsidRPr="00246D07">
        <w:rPr>
          <w:rFonts w:cs="David" w:hint="cs"/>
          <w:sz w:val="24"/>
          <w:szCs w:val="24"/>
          <w:rtl/>
        </w:rPr>
        <w:t>כדי</w:t>
      </w:r>
      <w:r w:rsidRPr="00246D07">
        <w:rPr>
          <w:rFonts w:cs="David"/>
          <w:sz w:val="24"/>
          <w:szCs w:val="24"/>
          <w:rtl/>
        </w:rPr>
        <w:t xml:space="preserve"> </w:t>
      </w:r>
      <w:r w:rsidRPr="00246D07">
        <w:rPr>
          <w:rFonts w:cs="David" w:hint="cs"/>
          <w:sz w:val="24"/>
          <w:szCs w:val="24"/>
          <w:rtl/>
        </w:rPr>
        <w:t>לקבוע</w:t>
      </w:r>
      <w:r w:rsidRPr="00246D07">
        <w:rPr>
          <w:rFonts w:cs="David"/>
          <w:sz w:val="24"/>
          <w:szCs w:val="24"/>
          <w:rtl/>
        </w:rPr>
        <w:t xml:space="preserve"> </w:t>
      </w:r>
      <w:r w:rsidRPr="00246D07">
        <w:rPr>
          <w:rFonts w:cs="David" w:hint="cs"/>
          <w:sz w:val="24"/>
          <w:szCs w:val="24"/>
          <w:rtl/>
        </w:rPr>
        <w:t>את</w:t>
      </w:r>
      <w:r w:rsidRPr="00246D07">
        <w:rPr>
          <w:rFonts w:cs="David"/>
          <w:sz w:val="24"/>
          <w:szCs w:val="24"/>
          <w:rtl/>
        </w:rPr>
        <w:t xml:space="preserve"> </w:t>
      </w:r>
      <w:r w:rsidRPr="00246D07">
        <w:rPr>
          <w:rFonts w:cs="David" w:hint="cs"/>
          <w:sz w:val="24"/>
          <w:szCs w:val="24"/>
          <w:rtl/>
        </w:rPr>
        <w:t>זהותו</w:t>
      </w:r>
      <w:r w:rsidRPr="00246D07">
        <w:rPr>
          <w:rFonts w:cs="David"/>
          <w:sz w:val="24"/>
          <w:szCs w:val="24"/>
          <w:rtl/>
        </w:rPr>
        <w:t xml:space="preserve"> </w:t>
      </w:r>
      <w:r w:rsidRPr="00246D07">
        <w:rPr>
          <w:rFonts w:cs="David" w:hint="cs"/>
          <w:sz w:val="24"/>
          <w:szCs w:val="24"/>
          <w:rtl/>
        </w:rPr>
        <w:t>ומיקומו</w:t>
      </w:r>
      <w:r w:rsidRPr="00246D07">
        <w:rPr>
          <w:rFonts w:cs="David"/>
          <w:sz w:val="24"/>
          <w:szCs w:val="24"/>
          <w:rtl/>
        </w:rPr>
        <w:t xml:space="preserve"> </w:t>
      </w:r>
      <w:r w:rsidRPr="00246D07">
        <w:rPr>
          <w:rFonts w:cs="David" w:hint="cs"/>
          <w:sz w:val="24"/>
          <w:szCs w:val="24"/>
          <w:rtl/>
        </w:rPr>
        <w:t>של</w:t>
      </w:r>
      <w:r w:rsidRPr="00246D07">
        <w:rPr>
          <w:rFonts w:cs="David"/>
          <w:sz w:val="24"/>
          <w:szCs w:val="24"/>
          <w:rtl/>
        </w:rPr>
        <w:t xml:space="preserve"> </w:t>
      </w:r>
      <w:r w:rsidRPr="00246D07">
        <w:rPr>
          <w:rFonts w:cs="David" w:hint="cs"/>
          <w:sz w:val="24"/>
          <w:szCs w:val="24"/>
          <w:rtl/>
        </w:rPr>
        <w:t>המפר</w:t>
      </w:r>
      <w:r w:rsidRPr="00246D07">
        <w:rPr>
          <w:rFonts w:cs="David"/>
          <w:sz w:val="24"/>
          <w:szCs w:val="24"/>
          <w:rtl/>
        </w:rPr>
        <w:t xml:space="preserve"> </w:t>
      </w:r>
      <w:r w:rsidRPr="00246D07">
        <w:rPr>
          <w:rFonts w:cs="David" w:hint="cs"/>
          <w:sz w:val="24"/>
          <w:szCs w:val="24"/>
          <w:rtl/>
        </w:rPr>
        <w:t>העיקרי</w:t>
      </w:r>
      <w:r w:rsidR="000B2FE9">
        <w:rPr>
          <w:rFonts w:cs="David" w:hint="cs"/>
          <w:sz w:val="24"/>
          <w:szCs w:val="24"/>
          <w:rtl/>
        </w:rPr>
        <w:t>.</w:t>
      </w:r>
      <w:r>
        <w:rPr>
          <w:rStyle w:val="ac"/>
          <w:rFonts w:cs="David"/>
          <w:sz w:val="24"/>
          <w:szCs w:val="24"/>
          <w:rtl/>
        </w:rPr>
        <w:footnoteReference w:id="46"/>
      </w:r>
    </w:p>
    <w:p w:rsidR="00246D07" w:rsidRDefault="00246D07" w:rsidP="00CE4418">
      <w:pPr>
        <w:spacing w:afterLines="120" w:after="288" w:line="360" w:lineRule="auto"/>
        <w:contextualSpacing/>
        <w:jc w:val="both"/>
        <w:rPr>
          <w:rFonts w:cs="David"/>
          <w:sz w:val="24"/>
          <w:szCs w:val="24"/>
          <w:rtl/>
        </w:rPr>
      </w:pPr>
    </w:p>
    <w:p w:rsidR="00353193" w:rsidRDefault="00CE4418" w:rsidP="00F36976">
      <w:pPr>
        <w:spacing w:afterLines="120" w:after="288" w:line="360" w:lineRule="auto"/>
        <w:contextualSpacing/>
        <w:jc w:val="both"/>
        <w:rPr>
          <w:rFonts w:cs="David"/>
          <w:sz w:val="24"/>
          <w:szCs w:val="24"/>
          <w:rtl/>
        </w:rPr>
      </w:pPr>
      <w:r w:rsidRPr="00F57176">
        <w:rPr>
          <w:rFonts w:cs="David" w:hint="cs"/>
          <w:b/>
          <w:bCs/>
          <w:sz w:val="24"/>
          <w:szCs w:val="24"/>
          <w:u w:val="single"/>
          <w:rtl/>
        </w:rPr>
        <w:t>באוסטרליה</w:t>
      </w:r>
      <w:r w:rsidRPr="00CE4418">
        <w:rPr>
          <w:rFonts w:cs="David" w:hint="cs"/>
          <w:sz w:val="24"/>
          <w:szCs w:val="24"/>
          <w:rtl/>
        </w:rPr>
        <w:t xml:space="preserve"> נחקק ביוני 2015 סעיף חוק המסדיר את ההליך ואת התנאים למתן צו חסימה</w:t>
      </w:r>
      <w:r w:rsidR="00360875">
        <w:rPr>
          <w:rFonts w:cs="David" w:hint="cs"/>
          <w:sz w:val="24"/>
          <w:szCs w:val="24"/>
          <w:rtl/>
        </w:rPr>
        <w:t xml:space="preserve"> </w:t>
      </w:r>
      <w:r w:rsidR="00B008A0">
        <w:rPr>
          <w:rFonts w:cs="David" w:hint="cs"/>
          <w:sz w:val="24"/>
          <w:szCs w:val="24"/>
          <w:rtl/>
        </w:rPr>
        <w:t>של אתרים המצויים מחוץ לאוסטרליה.</w:t>
      </w:r>
      <w:r>
        <w:rPr>
          <w:rStyle w:val="ac"/>
          <w:rFonts w:cs="David"/>
          <w:sz w:val="24"/>
          <w:szCs w:val="24"/>
          <w:rtl/>
        </w:rPr>
        <w:footnoteReference w:id="47"/>
      </w:r>
      <w:r w:rsidR="00B008A0">
        <w:rPr>
          <w:rFonts w:cs="David" w:hint="cs"/>
          <w:sz w:val="24"/>
          <w:szCs w:val="24"/>
          <w:rtl/>
        </w:rPr>
        <w:t xml:space="preserve"> תנאי הסף למתן הצו הם כי ספק שירותי הגישה מספק גישה </w:t>
      </w:r>
      <w:r w:rsidR="00B008A0" w:rsidRPr="00511568">
        <w:rPr>
          <w:rFonts w:cs="David" w:hint="cs"/>
          <w:sz w:val="24"/>
          <w:szCs w:val="24"/>
          <w:rtl/>
        </w:rPr>
        <w:t>לאתר</w:t>
      </w:r>
      <w:r w:rsidR="00B008A0" w:rsidRPr="00511568">
        <w:rPr>
          <w:rFonts w:cs="David"/>
          <w:sz w:val="24"/>
          <w:szCs w:val="24"/>
          <w:rtl/>
        </w:rPr>
        <w:t xml:space="preserve"> </w:t>
      </w:r>
      <w:r w:rsidR="00B008A0" w:rsidRPr="00511568">
        <w:rPr>
          <w:rFonts w:cs="David" w:hint="cs"/>
          <w:sz w:val="24"/>
          <w:szCs w:val="24"/>
          <w:rtl/>
        </w:rPr>
        <w:t>מחוץ</w:t>
      </w:r>
      <w:r w:rsidR="00B008A0" w:rsidRPr="00511568">
        <w:rPr>
          <w:rFonts w:cs="David"/>
          <w:sz w:val="24"/>
          <w:szCs w:val="24"/>
          <w:rtl/>
        </w:rPr>
        <w:t xml:space="preserve"> </w:t>
      </w:r>
      <w:r w:rsidR="00B008A0" w:rsidRPr="00511568">
        <w:rPr>
          <w:rFonts w:cs="David" w:hint="cs"/>
          <w:sz w:val="24"/>
          <w:szCs w:val="24"/>
          <w:rtl/>
        </w:rPr>
        <w:t>לאוסטרליה</w:t>
      </w:r>
      <w:r w:rsidR="00B008A0">
        <w:rPr>
          <w:rFonts w:cs="David" w:hint="cs"/>
          <w:sz w:val="24"/>
          <w:szCs w:val="24"/>
          <w:rtl/>
        </w:rPr>
        <w:t xml:space="preserve">; האתר מפר, או מאפשר הפרה של זכות יוצרים; והמטרה העיקרית של האתר היא להפר או לאפשר הפרות של זכות יוצרים. </w:t>
      </w:r>
      <w:r w:rsidR="00F36976">
        <w:rPr>
          <w:rFonts w:cs="David" w:hint="cs"/>
          <w:sz w:val="24"/>
          <w:szCs w:val="24"/>
          <w:rtl/>
        </w:rPr>
        <w:t xml:space="preserve">יצוין כי לא נדרשת כוונה או </w:t>
      </w:r>
      <w:r w:rsidR="00F36976">
        <w:rPr>
          <w:rFonts w:cs="David" w:hint="cs"/>
          <w:sz w:val="24"/>
          <w:szCs w:val="24"/>
          <w:rtl/>
        </w:rPr>
        <w:lastRenderedPageBreak/>
        <w:t xml:space="preserve">ידיעה מצד ספק שירותי הגישה לגבי ההפרות. </w:t>
      </w:r>
      <w:r w:rsidR="00B008A0">
        <w:rPr>
          <w:rFonts w:cs="David" w:hint="cs"/>
          <w:sz w:val="24"/>
          <w:szCs w:val="24"/>
          <w:rtl/>
        </w:rPr>
        <w:t>על פי הסעיף, חובתו של ספק שירותי הגישה היא לנקוט באמצעים סבירים להשבתת הגישה לאתר האמור.</w:t>
      </w:r>
    </w:p>
    <w:p w:rsidR="00511568" w:rsidRDefault="00B008A0" w:rsidP="00F80BE7">
      <w:pPr>
        <w:spacing w:afterLines="120" w:after="288" w:line="360" w:lineRule="auto"/>
        <w:contextualSpacing/>
        <w:jc w:val="both"/>
        <w:rPr>
          <w:rFonts w:cs="David"/>
          <w:sz w:val="24"/>
          <w:szCs w:val="24"/>
          <w:rtl/>
        </w:rPr>
      </w:pPr>
      <w:r>
        <w:rPr>
          <w:rFonts w:cs="David" w:hint="cs"/>
          <w:sz w:val="24"/>
          <w:szCs w:val="24"/>
          <w:rtl/>
        </w:rPr>
        <w:t xml:space="preserve">בנוסף מפרט הסעיף </w:t>
      </w:r>
      <w:r w:rsidR="00511568" w:rsidRPr="00511568">
        <w:rPr>
          <w:rFonts w:cs="David" w:hint="cs"/>
          <w:sz w:val="24"/>
          <w:szCs w:val="24"/>
          <w:rtl/>
        </w:rPr>
        <w:t>עניינים</w:t>
      </w:r>
      <w:r w:rsidR="00511568" w:rsidRPr="00511568">
        <w:rPr>
          <w:rFonts w:cs="David"/>
          <w:sz w:val="24"/>
          <w:szCs w:val="24"/>
          <w:rtl/>
        </w:rPr>
        <w:t xml:space="preserve"> </w:t>
      </w:r>
      <w:r>
        <w:rPr>
          <w:rFonts w:cs="David" w:hint="cs"/>
          <w:sz w:val="24"/>
          <w:szCs w:val="24"/>
          <w:rtl/>
        </w:rPr>
        <w:t>ש</w:t>
      </w:r>
      <w:r w:rsidR="00511568" w:rsidRPr="00511568">
        <w:rPr>
          <w:rFonts w:cs="David" w:hint="cs"/>
          <w:sz w:val="24"/>
          <w:szCs w:val="24"/>
          <w:rtl/>
        </w:rPr>
        <w:t>בית</w:t>
      </w:r>
      <w:r w:rsidR="00511568" w:rsidRPr="00511568">
        <w:rPr>
          <w:rFonts w:cs="David"/>
          <w:sz w:val="24"/>
          <w:szCs w:val="24"/>
          <w:rtl/>
        </w:rPr>
        <w:t xml:space="preserve"> </w:t>
      </w:r>
      <w:r w:rsidR="00511568" w:rsidRPr="00511568">
        <w:rPr>
          <w:rFonts w:cs="David" w:hint="cs"/>
          <w:sz w:val="24"/>
          <w:szCs w:val="24"/>
          <w:rtl/>
        </w:rPr>
        <w:t>המשפט</w:t>
      </w:r>
      <w:r>
        <w:rPr>
          <w:rFonts w:cs="David" w:hint="cs"/>
          <w:sz w:val="24"/>
          <w:szCs w:val="24"/>
          <w:rtl/>
        </w:rPr>
        <w:t xml:space="preserve"> רשאי</w:t>
      </w:r>
      <w:r w:rsidR="00511568" w:rsidRPr="00511568">
        <w:rPr>
          <w:rFonts w:cs="David"/>
          <w:sz w:val="24"/>
          <w:szCs w:val="24"/>
          <w:rtl/>
        </w:rPr>
        <w:t xml:space="preserve"> </w:t>
      </w:r>
      <w:r>
        <w:rPr>
          <w:rFonts w:cs="David" w:hint="cs"/>
          <w:sz w:val="24"/>
          <w:szCs w:val="24"/>
          <w:rtl/>
        </w:rPr>
        <w:t>לשקול</w:t>
      </w:r>
      <w:r w:rsidR="00511568" w:rsidRPr="00511568">
        <w:rPr>
          <w:rFonts w:cs="David"/>
          <w:sz w:val="24"/>
          <w:szCs w:val="24"/>
          <w:rtl/>
        </w:rPr>
        <w:t xml:space="preserve">, </w:t>
      </w:r>
      <w:r>
        <w:rPr>
          <w:rFonts w:cs="David" w:hint="cs"/>
          <w:sz w:val="24"/>
          <w:szCs w:val="24"/>
          <w:rtl/>
        </w:rPr>
        <w:t xml:space="preserve">וביניהם: </w:t>
      </w:r>
      <w:r w:rsidR="00F80BE7">
        <w:rPr>
          <w:rFonts w:cs="David" w:hint="cs"/>
          <w:sz w:val="24"/>
          <w:szCs w:val="24"/>
          <w:rtl/>
        </w:rPr>
        <w:t>חומרת (</w:t>
      </w:r>
      <w:r w:rsidR="00F80BE7" w:rsidRPr="002904EA">
        <w:rPr>
          <w:rFonts w:cs="David"/>
          <w:sz w:val="24"/>
          <w:szCs w:val="24"/>
        </w:rPr>
        <w:t>flagrancy</w:t>
      </w:r>
      <w:r w:rsidR="00F80BE7">
        <w:rPr>
          <w:rFonts w:cs="David" w:hint="cs"/>
          <w:sz w:val="24"/>
          <w:szCs w:val="24"/>
          <w:rtl/>
        </w:rPr>
        <w:t>) ההפרה; ה</w:t>
      </w:r>
      <w:r w:rsidR="00511568" w:rsidRPr="00511568">
        <w:rPr>
          <w:rFonts w:cs="David" w:hint="cs"/>
          <w:sz w:val="24"/>
          <w:szCs w:val="24"/>
          <w:rtl/>
        </w:rPr>
        <w:t>אם</w:t>
      </w:r>
      <w:r w:rsidR="00511568" w:rsidRPr="00511568">
        <w:rPr>
          <w:rFonts w:cs="David"/>
          <w:sz w:val="24"/>
          <w:szCs w:val="24"/>
          <w:rtl/>
        </w:rPr>
        <w:t xml:space="preserve"> </w:t>
      </w:r>
      <w:r w:rsidR="00511568" w:rsidRPr="00511568">
        <w:rPr>
          <w:rFonts w:cs="David" w:hint="cs"/>
          <w:sz w:val="24"/>
          <w:szCs w:val="24"/>
          <w:rtl/>
        </w:rPr>
        <w:t>האתר</w:t>
      </w:r>
      <w:r w:rsidR="00511568" w:rsidRPr="00511568">
        <w:rPr>
          <w:rFonts w:cs="David"/>
          <w:sz w:val="24"/>
          <w:szCs w:val="24"/>
          <w:rtl/>
        </w:rPr>
        <w:t xml:space="preserve"> </w:t>
      </w:r>
      <w:r w:rsidR="00511568" w:rsidRPr="00511568">
        <w:rPr>
          <w:rFonts w:cs="David" w:hint="cs"/>
          <w:sz w:val="24"/>
          <w:szCs w:val="24"/>
          <w:rtl/>
        </w:rPr>
        <w:t>כולל</w:t>
      </w:r>
      <w:r w:rsidR="00F80BE7">
        <w:rPr>
          <w:rFonts w:cs="David" w:hint="cs"/>
          <w:sz w:val="24"/>
          <w:szCs w:val="24"/>
          <w:rtl/>
        </w:rPr>
        <w:t xml:space="preserve"> אמצעים שמקלים על חיפוש החומר המפר, כגון</w:t>
      </w:r>
      <w:r w:rsidR="00511568" w:rsidRPr="00511568">
        <w:rPr>
          <w:rFonts w:cs="David"/>
          <w:sz w:val="24"/>
          <w:szCs w:val="24"/>
          <w:rtl/>
        </w:rPr>
        <w:t xml:space="preserve"> </w:t>
      </w:r>
      <w:r w:rsidR="00511568" w:rsidRPr="00511568">
        <w:rPr>
          <w:rFonts w:cs="David" w:hint="cs"/>
          <w:sz w:val="24"/>
          <w:szCs w:val="24"/>
          <w:rtl/>
        </w:rPr>
        <w:t>אינדקסים</w:t>
      </w:r>
      <w:r w:rsidR="00511568" w:rsidRPr="00511568">
        <w:rPr>
          <w:rFonts w:cs="David"/>
          <w:sz w:val="24"/>
          <w:szCs w:val="24"/>
          <w:rtl/>
        </w:rPr>
        <w:t xml:space="preserve"> </w:t>
      </w:r>
      <w:r w:rsidR="00511568" w:rsidRPr="00511568">
        <w:rPr>
          <w:rFonts w:cs="David" w:hint="cs"/>
          <w:sz w:val="24"/>
          <w:szCs w:val="24"/>
          <w:rtl/>
        </w:rPr>
        <w:t>או</w:t>
      </w:r>
      <w:r w:rsidR="00511568" w:rsidRPr="00511568">
        <w:rPr>
          <w:rFonts w:cs="David"/>
          <w:sz w:val="24"/>
          <w:szCs w:val="24"/>
          <w:rtl/>
        </w:rPr>
        <w:t xml:space="preserve"> </w:t>
      </w:r>
      <w:r w:rsidR="00511568" w:rsidRPr="00511568">
        <w:rPr>
          <w:rFonts w:cs="David" w:hint="cs"/>
          <w:sz w:val="24"/>
          <w:szCs w:val="24"/>
          <w:rtl/>
        </w:rPr>
        <w:t>קטגוריות</w:t>
      </w:r>
      <w:r w:rsidR="00511568" w:rsidRPr="00511568">
        <w:rPr>
          <w:rFonts w:cs="David"/>
          <w:sz w:val="24"/>
          <w:szCs w:val="24"/>
          <w:rtl/>
        </w:rPr>
        <w:t>;</w:t>
      </w:r>
      <w:r w:rsidR="00F80BE7">
        <w:rPr>
          <w:rFonts w:cs="David" w:hint="cs"/>
          <w:sz w:val="24"/>
          <w:szCs w:val="24"/>
          <w:rtl/>
        </w:rPr>
        <w:t xml:space="preserve"> האם בעלים או מפעיל האתר מפגין זלזול כלפי זכויות יוצרים באופן כללי; האם הגישה לאתר נחסמה בשל הפרת זכות יוצרים במדינות אחרות; מידתיות חסימת הגישה בנסיבות העניין; ההשפעה על כל אדם או קבוצת אנשים כתוצאה ממתן הצו; האם יש עניין ציבורי במניעת הגישה לאתר; וסעדים אחרים הנתונים לפי חוק זכות יוצרים.</w:t>
      </w:r>
    </w:p>
    <w:p w:rsidR="00F80BE7" w:rsidRPr="00511568" w:rsidRDefault="00F80BE7" w:rsidP="009D1BD2">
      <w:pPr>
        <w:spacing w:afterLines="120" w:after="288" w:line="360" w:lineRule="auto"/>
        <w:contextualSpacing/>
        <w:jc w:val="both"/>
        <w:rPr>
          <w:rFonts w:cs="David"/>
          <w:sz w:val="24"/>
          <w:szCs w:val="24"/>
          <w:rtl/>
        </w:rPr>
      </w:pPr>
      <w:r>
        <w:rPr>
          <w:rFonts w:cs="David" w:hint="cs"/>
          <w:sz w:val="24"/>
          <w:szCs w:val="24"/>
          <w:rtl/>
        </w:rPr>
        <w:t>בית המשפט רשאי להגביל את תקופת הצו וכן לבטל או ל</w:t>
      </w:r>
      <w:r w:rsidR="009D1BD2">
        <w:rPr>
          <w:rFonts w:cs="David" w:hint="cs"/>
          <w:sz w:val="24"/>
          <w:szCs w:val="24"/>
          <w:rtl/>
        </w:rPr>
        <w:t>ש</w:t>
      </w:r>
      <w:r>
        <w:rPr>
          <w:rFonts w:cs="David" w:hint="cs"/>
          <w:sz w:val="24"/>
          <w:szCs w:val="24"/>
          <w:rtl/>
        </w:rPr>
        <w:t>נות את הצו על פי בקשה.</w:t>
      </w:r>
    </w:p>
    <w:p w:rsidR="00B008A0" w:rsidRPr="00EC4CA5" w:rsidRDefault="00B008A0" w:rsidP="00B008A0">
      <w:pPr>
        <w:spacing w:afterLines="120" w:after="288" w:line="360" w:lineRule="auto"/>
        <w:contextualSpacing/>
        <w:jc w:val="both"/>
        <w:rPr>
          <w:rFonts w:cs="David"/>
          <w:sz w:val="24"/>
          <w:szCs w:val="24"/>
          <w:rtl/>
        </w:rPr>
      </w:pPr>
      <w:r>
        <w:rPr>
          <w:rFonts w:cs="David" w:hint="cs"/>
          <w:sz w:val="24"/>
          <w:szCs w:val="24"/>
          <w:rtl/>
        </w:rPr>
        <w:t>הצדדים להליך הם בעל הזכויות וספק</w:t>
      </w:r>
      <w:r w:rsidR="009D1BD2">
        <w:rPr>
          <w:rFonts w:cs="David" w:hint="cs"/>
          <w:sz w:val="24"/>
          <w:szCs w:val="24"/>
          <w:rtl/>
        </w:rPr>
        <w:t>יות</w:t>
      </w:r>
      <w:r>
        <w:rPr>
          <w:rFonts w:cs="David" w:hint="cs"/>
          <w:sz w:val="24"/>
          <w:szCs w:val="24"/>
          <w:rtl/>
        </w:rPr>
        <w:t xml:space="preserve"> שירותי הגישה.</w:t>
      </w:r>
      <w:r w:rsidR="006738C1">
        <w:rPr>
          <w:rFonts w:cs="David" w:hint="cs"/>
          <w:sz w:val="24"/>
          <w:szCs w:val="24"/>
          <w:rtl/>
        </w:rPr>
        <w:t xml:space="preserve"> ספק</w:t>
      </w:r>
      <w:r w:rsidR="009D1BD2">
        <w:rPr>
          <w:rFonts w:cs="David" w:hint="cs"/>
          <w:sz w:val="24"/>
          <w:szCs w:val="24"/>
          <w:rtl/>
        </w:rPr>
        <w:t>ית</w:t>
      </w:r>
      <w:r w:rsidR="006738C1">
        <w:rPr>
          <w:rFonts w:cs="David" w:hint="cs"/>
          <w:sz w:val="24"/>
          <w:szCs w:val="24"/>
          <w:rtl/>
        </w:rPr>
        <w:t xml:space="preserve"> שירותי הגישה לא </w:t>
      </w:r>
      <w:r w:rsidR="009D1BD2">
        <w:rPr>
          <w:rFonts w:cs="David" w:hint="cs"/>
          <w:sz w:val="24"/>
          <w:szCs w:val="24"/>
          <w:rtl/>
        </w:rPr>
        <w:t>ת</w:t>
      </w:r>
      <w:r w:rsidR="006738C1">
        <w:rPr>
          <w:rFonts w:cs="David" w:hint="cs"/>
          <w:sz w:val="24"/>
          <w:szCs w:val="24"/>
          <w:rtl/>
        </w:rPr>
        <w:t>שא בהוצאות ההליך אלא אם כן הביעה עמדה בהליך.</w:t>
      </w:r>
      <w:r>
        <w:rPr>
          <w:rFonts w:cs="David" w:hint="cs"/>
          <w:sz w:val="24"/>
          <w:szCs w:val="24"/>
          <w:rtl/>
        </w:rPr>
        <w:t xml:space="preserve"> בעל הזכויות מחויב להודיע למפעיל האתר על הגשת הבקשה, ומפעיל האתר יהיה צד להליך רק אם ביקש להצטרף. בית המשפט רשאי לפטור את בעל הזכויות מחובת ההודעה אם שוכנע כי לא ניתן לזהות במאמצים סבירים את זהותו או כתובתו של מפעיל האתר.</w:t>
      </w:r>
    </w:p>
    <w:p w:rsidR="0079520D" w:rsidRDefault="0079520D" w:rsidP="0082231E">
      <w:pPr>
        <w:spacing w:afterLines="120" w:after="288" w:line="360" w:lineRule="auto"/>
        <w:contextualSpacing/>
        <w:jc w:val="both"/>
        <w:rPr>
          <w:rFonts w:cs="David"/>
          <w:sz w:val="24"/>
          <w:szCs w:val="24"/>
          <w:rtl/>
        </w:rPr>
      </w:pPr>
      <w:r w:rsidRPr="0079520D">
        <w:rPr>
          <w:rFonts w:cs="David" w:hint="cs"/>
          <w:sz w:val="24"/>
          <w:szCs w:val="24"/>
          <w:rtl/>
        </w:rPr>
        <w:t>סעיף זה יושם לראשונה בפסיקה בדצמבר 2016.</w:t>
      </w:r>
      <w:r>
        <w:rPr>
          <w:rStyle w:val="ac"/>
          <w:rtl/>
        </w:rPr>
        <w:footnoteReference w:id="48"/>
      </w:r>
      <w:r w:rsidR="00E83FD2">
        <w:rPr>
          <w:rFonts w:cs="David" w:hint="cs"/>
          <w:sz w:val="24"/>
          <w:szCs w:val="24"/>
          <w:rtl/>
        </w:rPr>
        <w:t xml:space="preserve"> באותו מקרה, </w:t>
      </w:r>
      <w:r w:rsidR="001B5A3B">
        <w:rPr>
          <w:rFonts w:cs="David" w:hint="cs"/>
          <w:sz w:val="24"/>
          <w:szCs w:val="24"/>
          <w:rtl/>
        </w:rPr>
        <w:t>דובר על אתרי אינטרנט שנחסמו באמצעות צווים במדינות נוספות, ו</w:t>
      </w:r>
      <w:r w:rsidR="00E83FD2">
        <w:rPr>
          <w:rFonts w:cs="David" w:hint="cs"/>
          <w:sz w:val="24"/>
          <w:szCs w:val="24"/>
          <w:rtl/>
        </w:rPr>
        <w:t>ספקיות הגישה לאינטרנט לא התנגדו ל</w:t>
      </w:r>
      <w:r w:rsidR="00E96B45">
        <w:rPr>
          <w:rFonts w:cs="David" w:hint="cs"/>
          <w:sz w:val="24"/>
          <w:szCs w:val="24"/>
          <w:rtl/>
        </w:rPr>
        <w:t>עצם מתן הצו, אך עלתה השאלה מהו היקף הצו. בית המשפט פסק כי ייחסמו האתרים המנויים בצו במפורש, וכדי להרחיב את הצו כך שיחול על האתרים בכתובות אחרות</w:t>
      </w:r>
      <w:r w:rsidR="001B5A3B">
        <w:rPr>
          <w:rFonts w:cs="David" w:hint="cs"/>
          <w:sz w:val="24"/>
          <w:szCs w:val="24"/>
          <w:rtl/>
        </w:rPr>
        <w:t xml:space="preserve"> אליהם יעברו</w:t>
      </w:r>
      <w:r w:rsidR="00E96B45">
        <w:rPr>
          <w:rFonts w:cs="David" w:hint="cs"/>
          <w:sz w:val="24"/>
          <w:szCs w:val="24"/>
          <w:rtl/>
        </w:rPr>
        <w:t>, יש לפנות לבית המשפט.</w:t>
      </w:r>
      <w:r w:rsidR="0082231E">
        <w:rPr>
          <w:rStyle w:val="ac"/>
          <w:rFonts w:cs="David"/>
          <w:sz w:val="24"/>
          <w:szCs w:val="24"/>
          <w:rtl/>
        </w:rPr>
        <w:footnoteReference w:id="49"/>
      </w:r>
      <w:r w:rsidR="00BB323D">
        <w:rPr>
          <w:rFonts w:cs="David" w:hint="cs"/>
          <w:sz w:val="24"/>
          <w:szCs w:val="24"/>
          <w:rtl/>
        </w:rPr>
        <w:t xml:space="preserve"> עוד נדונה השאלה על מי יוטלו הוצאות יישום הצו, ובית המשפט פסק כי ההוצאות בגין הקמת מערכת מתאימה לחסימה מהוות חלק מעלויות ניהול עסקים רגילות ועל כן על ספק</w:t>
      </w:r>
      <w:r w:rsidR="00305D99">
        <w:rPr>
          <w:rFonts w:cs="David" w:hint="cs"/>
          <w:sz w:val="24"/>
          <w:szCs w:val="24"/>
          <w:rtl/>
        </w:rPr>
        <w:t>יות</w:t>
      </w:r>
      <w:r w:rsidR="00BB323D">
        <w:rPr>
          <w:rFonts w:cs="David" w:hint="cs"/>
          <w:sz w:val="24"/>
          <w:szCs w:val="24"/>
          <w:rtl/>
        </w:rPr>
        <w:t xml:space="preserve"> שירותי הגישה לשאת בהן, בעוד שעלויות יישום הצו יושתו על מבקש הצו.</w:t>
      </w:r>
      <w:r w:rsidR="00844B91">
        <w:rPr>
          <w:rStyle w:val="ac"/>
          <w:rFonts w:cs="David"/>
          <w:sz w:val="24"/>
          <w:szCs w:val="24"/>
          <w:rtl/>
        </w:rPr>
        <w:footnoteReference w:id="50"/>
      </w:r>
      <w:r w:rsidR="00844B91">
        <w:rPr>
          <w:rFonts w:cs="David" w:hint="cs"/>
          <w:sz w:val="24"/>
          <w:szCs w:val="24"/>
          <w:rtl/>
        </w:rPr>
        <w:t xml:space="preserve"> בית המשפט הורה כי תקופת הצו תהיה שלוש שנים, וכן הורה כי אדם המנסה לגשת לאתר ינותב ל"דף נחיתה" בו יוסבר מדוע לא ניתן לגשת לאתר.</w:t>
      </w:r>
      <w:r w:rsidR="00844B91">
        <w:rPr>
          <w:rStyle w:val="ac"/>
          <w:rFonts w:cs="David"/>
          <w:sz w:val="24"/>
          <w:szCs w:val="24"/>
          <w:rtl/>
        </w:rPr>
        <w:footnoteReference w:id="51"/>
      </w:r>
    </w:p>
    <w:p w:rsidR="00AE7DFE" w:rsidRDefault="00AE7DFE" w:rsidP="00D74DB8">
      <w:pPr>
        <w:contextualSpacing/>
        <w:rPr>
          <w:rFonts w:cs="Arial"/>
          <w:rtl/>
        </w:rPr>
      </w:pPr>
    </w:p>
    <w:sectPr w:rsidR="00AE7DFE" w:rsidSect="00BE6CA6">
      <w:footerReference w:type="default" r:id="rId7"/>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92F7F" w:rsidRDefault="00892F7F" w:rsidP="0033573A">
      <w:pPr>
        <w:spacing w:after="0" w:line="240" w:lineRule="auto"/>
      </w:pPr>
      <w:r>
        <w:separator/>
      </w:r>
    </w:p>
  </w:endnote>
  <w:endnote w:type="continuationSeparator" w:id="0">
    <w:p w:rsidR="00892F7F" w:rsidRDefault="00892F7F" w:rsidP="003357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3" w:usb1="00000000" w:usb2="00000000" w:usb3="00000000" w:csb0="0000002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B1"/>
    <w:family w:val="swiss"/>
    <w:notTrueType/>
    <w:pitch w:val="variable"/>
    <w:sig w:usb0="00000801" w:usb1="00000000" w:usb2="00000000" w:usb3="00000000" w:csb0="00000020" w:csb1="00000000"/>
  </w:font>
  <w:font w:name="Batang">
    <w:altName w:val="바탕"/>
    <w:panose1 w:val="02030600000101010101"/>
    <w:charset w:val="81"/>
    <w:family w:val="auto"/>
    <w:notTrueType/>
    <w:pitch w:val="fixed"/>
    <w:sig w:usb0="00000001" w:usb1="09060000" w:usb2="00000010" w:usb3="00000000" w:csb0="00080000" w:csb1="00000000"/>
  </w:font>
  <w:font w:name="Times New (W1)">
    <w:altName w:val="Times New Roman"/>
    <w:charset w:val="00"/>
    <w:family w:val="roman"/>
    <w:pitch w:val="variable"/>
    <w:sig w:usb0="E0002AFF" w:usb1="C0007841" w:usb2="00000009" w:usb3="00000000" w:csb0="000001FF" w:csb1="00000000"/>
  </w:font>
  <w:font w:name="Helvetica">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1790307846"/>
      <w:docPartObj>
        <w:docPartGallery w:val="Page Numbers (Bottom of Page)"/>
        <w:docPartUnique/>
      </w:docPartObj>
    </w:sdtPr>
    <w:sdtEndPr>
      <w:rPr>
        <w:cs/>
      </w:rPr>
    </w:sdtEndPr>
    <w:sdtContent>
      <w:p w:rsidR="00167E7B" w:rsidRDefault="00167E7B">
        <w:pPr>
          <w:pStyle w:val="af1"/>
          <w:jc w:val="center"/>
          <w:rPr>
            <w:rtl/>
            <w:cs/>
          </w:rPr>
        </w:pPr>
        <w:r w:rsidRPr="00167E7B">
          <w:rPr>
            <w:rFonts w:cs="David"/>
            <w:sz w:val="20"/>
            <w:szCs w:val="20"/>
          </w:rPr>
          <w:fldChar w:fldCharType="begin"/>
        </w:r>
        <w:r w:rsidRPr="00167E7B">
          <w:rPr>
            <w:rFonts w:cs="David"/>
            <w:sz w:val="20"/>
            <w:szCs w:val="20"/>
            <w:rtl/>
            <w:cs/>
          </w:rPr>
          <w:instrText xml:space="preserve">PAGE   </w:instrText>
        </w:r>
        <w:r w:rsidRPr="00167E7B">
          <w:rPr>
            <w:rFonts w:cs="David"/>
            <w:sz w:val="20"/>
            <w:szCs w:val="20"/>
            <w:cs/>
          </w:rPr>
          <w:instrText>\</w:instrText>
        </w:r>
        <w:r w:rsidRPr="00167E7B">
          <w:rPr>
            <w:rFonts w:cs="David"/>
            <w:sz w:val="20"/>
            <w:szCs w:val="20"/>
            <w:rtl/>
            <w:cs/>
          </w:rPr>
          <w:instrText xml:space="preserve">* </w:instrText>
        </w:r>
        <w:r w:rsidRPr="00167E7B">
          <w:rPr>
            <w:rFonts w:cs="David"/>
            <w:sz w:val="20"/>
            <w:szCs w:val="20"/>
            <w:cs/>
          </w:rPr>
          <w:instrText>MERGEFORMAT</w:instrText>
        </w:r>
        <w:r w:rsidRPr="00167E7B">
          <w:rPr>
            <w:rFonts w:cs="David"/>
            <w:sz w:val="20"/>
            <w:szCs w:val="20"/>
          </w:rPr>
          <w:fldChar w:fldCharType="separate"/>
        </w:r>
        <w:r w:rsidR="00504F38" w:rsidRPr="00504F38">
          <w:rPr>
            <w:rFonts w:cs="David"/>
            <w:noProof/>
            <w:sz w:val="20"/>
            <w:szCs w:val="20"/>
            <w:rtl/>
            <w:lang w:val="he-IL"/>
          </w:rPr>
          <w:t>1</w:t>
        </w:r>
        <w:r w:rsidRPr="00167E7B">
          <w:rPr>
            <w:rFonts w:cs="David"/>
            <w:sz w:val="20"/>
            <w:szCs w:val="20"/>
          </w:rPr>
          <w:fldChar w:fldCharType="end"/>
        </w:r>
      </w:p>
    </w:sdtContent>
  </w:sdt>
  <w:p w:rsidR="00167E7B" w:rsidRDefault="00167E7B">
    <w:pPr>
      <w:pStyle w:val="af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92F7F" w:rsidRDefault="00892F7F" w:rsidP="0033573A">
      <w:pPr>
        <w:spacing w:after="0" w:line="240" w:lineRule="auto"/>
      </w:pPr>
      <w:r>
        <w:separator/>
      </w:r>
    </w:p>
  </w:footnote>
  <w:footnote w:type="continuationSeparator" w:id="0">
    <w:p w:rsidR="00892F7F" w:rsidRDefault="00892F7F" w:rsidP="0033573A">
      <w:pPr>
        <w:spacing w:after="0" w:line="240" w:lineRule="auto"/>
      </w:pPr>
      <w:r>
        <w:continuationSeparator/>
      </w:r>
    </w:p>
  </w:footnote>
  <w:footnote w:id="1">
    <w:p w:rsidR="00FF4538" w:rsidRPr="009F7BBF" w:rsidRDefault="00FF4538" w:rsidP="00E048FE">
      <w:pPr>
        <w:pStyle w:val="aa"/>
        <w:jc w:val="both"/>
        <w:rPr>
          <w:rFonts w:cs="David"/>
          <w:rtl/>
        </w:rPr>
      </w:pPr>
      <w:r w:rsidRPr="009F7BBF">
        <w:rPr>
          <w:rStyle w:val="ac"/>
          <w:rFonts w:cs="David"/>
        </w:rPr>
        <w:footnoteRef/>
      </w:r>
      <w:r w:rsidRPr="009F7BBF">
        <w:rPr>
          <w:rFonts w:cs="David"/>
          <w:rtl/>
        </w:rPr>
        <w:t xml:space="preserve"> </w:t>
      </w:r>
      <w:r w:rsidR="005764D0" w:rsidRPr="009F7BBF">
        <w:rPr>
          <w:rFonts w:cs="David" w:hint="cs"/>
          <w:rtl/>
        </w:rPr>
        <w:t>מחקר</w:t>
      </w:r>
      <w:r w:rsidRPr="009F7BBF">
        <w:rPr>
          <w:rFonts w:cs="David"/>
          <w:rtl/>
        </w:rPr>
        <w:t xml:space="preserve"> </w:t>
      </w:r>
      <w:r w:rsidRPr="009F7BBF">
        <w:rPr>
          <w:rFonts w:cs="David" w:hint="cs"/>
          <w:rtl/>
        </w:rPr>
        <w:t>על</w:t>
      </w:r>
      <w:r w:rsidRPr="009F7BBF">
        <w:rPr>
          <w:rFonts w:cs="David"/>
          <w:rtl/>
        </w:rPr>
        <w:t xml:space="preserve"> </w:t>
      </w:r>
      <w:r w:rsidRPr="009F7BBF">
        <w:rPr>
          <w:rFonts w:cs="David" w:hint="cs"/>
          <w:rtl/>
        </w:rPr>
        <w:t>יעילותם</w:t>
      </w:r>
      <w:r w:rsidRPr="009F7BBF">
        <w:rPr>
          <w:rFonts w:cs="David"/>
          <w:rtl/>
        </w:rPr>
        <w:t xml:space="preserve"> </w:t>
      </w:r>
      <w:r w:rsidRPr="009F7BBF">
        <w:rPr>
          <w:rFonts w:cs="David" w:hint="cs"/>
          <w:rtl/>
        </w:rPr>
        <w:t>של</w:t>
      </w:r>
      <w:r w:rsidRPr="009F7BBF">
        <w:rPr>
          <w:rFonts w:cs="David"/>
          <w:rtl/>
        </w:rPr>
        <w:t xml:space="preserve"> </w:t>
      </w:r>
      <w:r w:rsidRPr="009F7BBF">
        <w:rPr>
          <w:rFonts w:cs="David" w:hint="cs"/>
          <w:rtl/>
        </w:rPr>
        <w:t>צווי</w:t>
      </w:r>
      <w:r w:rsidRPr="009F7BBF">
        <w:rPr>
          <w:rFonts w:cs="David"/>
          <w:rtl/>
        </w:rPr>
        <w:t xml:space="preserve"> </w:t>
      </w:r>
      <w:r w:rsidRPr="009F7BBF">
        <w:rPr>
          <w:rFonts w:cs="David" w:hint="cs"/>
          <w:rtl/>
        </w:rPr>
        <w:t>הגבלת</w:t>
      </w:r>
      <w:r w:rsidRPr="009F7BBF">
        <w:rPr>
          <w:rFonts w:cs="David"/>
          <w:rtl/>
        </w:rPr>
        <w:t xml:space="preserve"> </w:t>
      </w:r>
      <w:r w:rsidRPr="009F7BBF">
        <w:rPr>
          <w:rFonts w:cs="David" w:hint="cs"/>
          <w:rtl/>
        </w:rPr>
        <w:t>גישה</w:t>
      </w:r>
      <w:r w:rsidRPr="009F7BBF">
        <w:rPr>
          <w:rFonts w:cs="David"/>
          <w:rtl/>
        </w:rPr>
        <w:t xml:space="preserve"> </w:t>
      </w:r>
      <w:r w:rsidRPr="009F7BBF">
        <w:rPr>
          <w:rFonts w:cs="David" w:hint="cs"/>
          <w:rtl/>
        </w:rPr>
        <w:t>בהפחתה של צריכת תכנים באופן לא חוקי ניתן</w:t>
      </w:r>
      <w:r w:rsidRPr="009F7BBF">
        <w:rPr>
          <w:rFonts w:cs="David"/>
          <w:rtl/>
        </w:rPr>
        <w:t xml:space="preserve"> </w:t>
      </w:r>
      <w:r w:rsidRPr="009F7BBF">
        <w:rPr>
          <w:rFonts w:cs="David" w:hint="cs"/>
          <w:rtl/>
        </w:rPr>
        <w:t>למצוא</w:t>
      </w:r>
      <w:r w:rsidRPr="009F7BBF">
        <w:rPr>
          <w:rFonts w:cs="David"/>
          <w:rtl/>
        </w:rPr>
        <w:t xml:space="preserve"> </w:t>
      </w:r>
      <w:r w:rsidRPr="009F7BBF">
        <w:rPr>
          <w:rFonts w:cs="David" w:hint="cs"/>
          <w:rtl/>
        </w:rPr>
        <w:t>כאן</w:t>
      </w:r>
      <w:r w:rsidRPr="009F7BBF">
        <w:rPr>
          <w:rFonts w:cs="David"/>
          <w:rtl/>
        </w:rPr>
        <w:t>:</w:t>
      </w:r>
      <w:r w:rsidRPr="009F7BBF">
        <w:rPr>
          <w:rFonts w:cs="David" w:hint="cs"/>
          <w:rtl/>
        </w:rPr>
        <w:t xml:space="preserve"> </w:t>
      </w:r>
    </w:p>
    <w:p w:rsidR="00E048FE" w:rsidRPr="009F7BBF" w:rsidRDefault="00FF4538" w:rsidP="005764D0">
      <w:pPr>
        <w:bidi w:val="0"/>
        <w:spacing w:after="0" w:line="240" w:lineRule="auto"/>
        <w:rPr>
          <w:rFonts w:cs="David"/>
          <w:sz w:val="20"/>
          <w:szCs w:val="20"/>
        </w:rPr>
      </w:pPr>
      <w:r w:rsidRPr="009F7BBF">
        <w:rPr>
          <w:rFonts w:cs="David"/>
          <w:sz w:val="20"/>
          <w:szCs w:val="20"/>
          <w:lang w:val="en"/>
        </w:rPr>
        <w:t xml:space="preserve">Danaher, Brett and Smith, Michael D. and Telang, Rahul, The Effect of Piracy Website Blocking on Consumer Behavior (November 2015). Available at SSRN: </w:t>
      </w:r>
      <w:hyperlink r:id="rId1" w:tgtFrame="_blank" w:history="1">
        <w:r w:rsidRPr="009F7BBF">
          <w:rPr>
            <w:rStyle w:val="Hyperlink"/>
            <w:rFonts w:cs="David"/>
            <w:sz w:val="20"/>
            <w:szCs w:val="20"/>
            <w:lang w:val="en"/>
          </w:rPr>
          <w:t>https://ssrn.com/abstract=2612063</w:t>
        </w:r>
      </w:hyperlink>
      <w:r w:rsidRPr="009F7BBF">
        <w:rPr>
          <w:rFonts w:cs="David"/>
          <w:sz w:val="20"/>
          <w:szCs w:val="20"/>
          <w:lang w:val="en"/>
        </w:rPr>
        <w:t xml:space="preserve"> or </w:t>
      </w:r>
      <w:hyperlink r:id="rId2" w:tgtFrame="_blank" w:history="1">
        <w:r w:rsidRPr="009F7BBF">
          <w:rPr>
            <w:rStyle w:val="Hyperlink"/>
            <w:rFonts w:cs="David"/>
            <w:sz w:val="20"/>
            <w:szCs w:val="20"/>
            <w:lang w:val="en"/>
          </w:rPr>
          <w:t xml:space="preserve">http://dx.doi.org/10.2139/ssrn.2612063 </w:t>
        </w:r>
      </w:hyperlink>
    </w:p>
  </w:footnote>
  <w:footnote w:id="2">
    <w:p w:rsidR="00FF4538" w:rsidRPr="009F7BBF" w:rsidRDefault="00FF4538" w:rsidP="005E394C">
      <w:pPr>
        <w:spacing w:after="0" w:line="240" w:lineRule="auto"/>
        <w:jc w:val="both"/>
        <w:rPr>
          <w:rFonts w:cs="David"/>
          <w:sz w:val="20"/>
          <w:szCs w:val="20"/>
          <w:rtl/>
        </w:rPr>
      </w:pPr>
      <w:r w:rsidRPr="009F7BBF">
        <w:rPr>
          <w:rStyle w:val="ac"/>
          <w:rFonts w:cs="David"/>
          <w:sz w:val="20"/>
          <w:szCs w:val="20"/>
        </w:rPr>
        <w:footnoteRef/>
      </w:r>
      <w:r w:rsidRPr="009F7BBF">
        <w:rPr>
          <w:rFonts w:cs="David"/>
          <w:sz w:val="20"/>
          <w:szCs w:val="20"/>
          <w:rtl/>
        </w:rPr>
        <w:t xml:space="preserve"> </w:t>
      </w:r>
      <w:hyperlink r:id="rId3" w:history="1">
        <w:r w:rsidRPr="009F7BBF">
          <w:rPr>
            <w:rStyle w:val="Hyperlink"/>
            <w:rFonts w:cs="David"/>
            <w:sz w:val="20"/>
            <w:szCs w:val="20"/>
          </w:rPr>
          <w:t>http://eur-lex.europa.eu/LexUriServ/LexUriServ.do?uri=OJ:L:2001:167:0010:0019:EN:PDF</w:t>
        </w:r>
      </w:hyperlink>
    </w:p>
  </w:footnote>
  <w:footnote w:id="3">
    <w:p w:rsidR="00FF4538" w:rsidRPr="009F7BBF" w:rsidRDefault="00FF4538" w:rsidP="005E394C">
      <w:pPr>
        <w:pStyle w:val="aa"/>
        <w:jc w:val="both"/>
        <w:rPr>
          <w:rFonts w:cs="David"/>
        </w:rPr>
      </w:pPr>
      <w:r w:rsidRPr="009F7BBF">
        <w:rPr>
          <w:rStyle w:val="ac"/>
          <w:rFonts w:cs="David"/>
        </w:rPr>
        <w:footnoteRef/>
      </w:r>
      <w:r w:rsidRPr="009F7BBF">
        <w:rPr>
          <w:rFonts w:cs="David"/>
          <w:rtl/>
        </w:rPr>
        <w:t xml:space="preserve"> </w:t>
      </w:r>
      <w:r w:rsidRPr="009F7BBF">
        <w:rPr>
          <w:rFonts w:cs="David"/>
        </w:rPr>
        <w:t>UPC TELEKABEL WIEN V. CONSTANTIN FILM VERLEIH AND WEGA FILMPRODUKTIONSGESELLSCHAFT (C-314/12, 27 March 2014)</w:t>
      </w:r>
      <w:r w:rsidRPr="009F7BBF">
        <w:rPr>
          <w:rFonts w:cs="David" w:hint="cs"/>
          <w:rtl/>
        </w:rPr>
        <w:t>, פסקאות 62-64.</w:t>
      </w:r>
    </w:p>
  </w:footnote>
  <w:footnote w:id="4">
    <w:p w:rsidR="00FF4538" w:rsidRPr="009F7BBF" w:rsidRDefault="00FF4538" w:rsidP="005E394C">
      <w:pPr>
        <w:pStyle w:val="aa"/>
        <w:jc w:val="both"/>
        <w:rPr>
          <w:rFonts w:cs="David"/>
        </w:rPr>
      </w:pPr>
      <w:r w:rsidRPr="009F7BBF">
        <w:rPr>
          <w:rStyle w:val="ac"/>
          <w:rFonts w:cs="David"/>
        </w:rPr>
        <w:footnoteRef/>
      </w:r>
      <w:r w:rsidRPr="009F7BBF">
        <w:rPr>
          <w:rFonts w:cs="David"/>
          <w:rtl/>
        </w:rPr>
        <w:t xml:space="preserve"> </w:t>
      </w:r>
      <w:r w:rsidRPr="009F7BBF">
        <w:rPr>
          <w:rFonts w:cs="David" w:hint="cs"/>
          <w:rtl/>
        </w:rPr>
        <w:t>שם, פסקאות 51-53.</w:t>
      </w:r>
    </w:p>
  </w:footnote>
  <w:footnote w:id="5">
    <w:p w:rsidR="00FF4538" w:rsidRPr="009F7BBF" w:rsidRDefault="00FF4538" w:rsidP="005E394C">
      <w:pPr>
        <w:pStyle w:val="aa"/>
        <w:jc w:val="both"/>
        <w:rPr>
          <w:rFonts w:cs="David"/>
          <w:rtl/>
        </w:rPr>
      </w:pPr>
      <w:r w:rsidRPr="009F7BBF">
        <w:rPr>
          <w:rStyle w:val="ac"/>
          <w:rFonts w:cs="David"/>
        </w:rPr>
        <w:footnoteRef/>
      </w:r>
      <w:r w:rsidRPr="009F7BBF">
        <w:rPr>
          <w:rFonts w:cs="David"/>
          <w:rtl/>
        </w:rPr>
        <w:t xml:space="preserve"> </w:t>
      </w:r>
      <w:r w:rsidRPr="009F7BBF">
        <w:rPr>
          <w:rFonts w:cs="David" w:hint="cs"/>
          <w:rtl/>
        </w:rPr>
        <w:t>שם, פסקה 32.</w:t>
      </w:r>
    </w:p>
  </w:footnote>
  <w:footnote w:id="6">
    <w:p w:rsidR="00FF4538" w:rsidRPr="009F7BBF" w:rsidRDefault="00FF4538" w:rsidP="005E394C">
      <w:pPr>
        <w:pStyle w:val="aa"/>
        <w:jc w:val="both"/>
        <w:rPr>
          <w:rFonts w:cs="David"/>
          <w:rtl/>
        </w:rPr>
      </w:pPr>
      <w:r w:rsidRPr="009F7BBF">
        <w:rPr>
          <w:rStyle w:val="ac"/>
          <w:rFonts w:cs="David"/>
        </w:rPr>
        <w:footnoteRef/>
      </w:r>
      <w:r w:rsidRPr="009F7BBF">
        <w:rPr>
          <w:rFonts w:cs="David"/>
          <w:rtl/>
        </w:rPr>
        <w:t xml:space="preserve"> </w:t>
      </w:r>
      <w:r w:rsidRPr="009F7BBF">
        <w:rPr>
          <w:rFonts w:cs="David" w:hint="cs"/>
          <w:rtl/>
        </w:rPr>
        <w:t>שם, פסקאות 34-35.</w:t>
      </w:r>
    </w:p>
  </w:footnote>
  <w:footnote w:id="7">
    <w:p w:rsidR="00FF4538" w:rsidRPr="009F7BBF" w:rsidRDefault="00FF4538">
      <w:pPr>
        <w:pStyle w:val="aa"/>
        <w:rPr>
          <w:rFonts w:cs="David"/>
          <w:rtl/>
        </w:rPr>
      </w:pPr>
      <w:r w:rsidRPr="009F7BBF">
        <w:rPr>
          <w:rStyle w:val="ac"/>
          <w:rFonts w:cs="David"/>
        </w:rPr>
        <w:footnoteRef/>
      </w:r>
      <w:r w:rsidRPr="009F7BBF">
        <w:rPr>
          <w:rFonts w:cs="David"/>
          <w:rtl/>
        </w:rPr>
        <w:t xml:space="preserve"> </w:t>
      </w:r>
      <w:r w:rsidRPr="009F7BBF">
        <w:rPr>
          <w:rFonts w:cs="David"/>
          <w:color w:val="000000"/>
        </w:rPr>
        <w:t>Twentieth Century Fox Film Corp v British Telecommunications plc</w:t>
      </w:r>
      <w:r w:rsidRPr="009F7BBF">
        <w:rPr>
          <w:rStyle w:val="apple-converted-space"/>
          <w:rFonts w:cs="David"/>
          <w:color w:val="000000"/>
        </w:rPr>
        <w:t> </w:t>
      </w:r>
      <w:hyperlink r:id="rId4" w:tooltip="Link to BAILII version" w:history="1">
        <w:r w:rsidRPr="009F7BBF">
          <w:rPr>
            <w:rStyle w:val="Hyperlink"/>
            <w:rFonts w:cs="David"/>
          </w:rPr>
          <w:t>[2011] EWHC 1981 (Ch)</w:t>
        </w:r>
      </w:hyperlink>
      <w:r w:rsidRPr="009F7BBF">
        <w:rPr>
          <w:rFonts w:cs="David" w:hint="cs"/>
          <w:rtl/>
        </w:rPr>
        <w:t>.</w:t>
      </w:r>
    </w:p>
  </w:footnote>
  <w:footnote w:id="8">
    <w:p w:rsidR="00FF4538" w:rsidRPr="009F7BBF" w:rsidRDefault="00FF4538" w:rsidP="005E394C">
      <w:pPr>
        <w:pStyle w:val="aa"/>
        <w:jc w:val="both"/>
        <w:rPr>
          <w:rFonts w:cs="David"/>
        </w:rPr>
      </w:pPr>
      <w:r w:rsidRPr="009F7BBF">
        <w:rPr>
          <w:rStyle w:val="ac"/>
          <w:rFonts w:cs="David"/>
        </w:rPr>
        <w:footnoteRef/>
      </w:r>
      <w:r w:rsidRPr="009F7BBF">
        <w:rPr>
          <w:rFonts w:cs="David"/>
          <w:rtl/>
        </w:rPr>
        <w:t xml:space="preserve"> </w:t>
      </w:r>
      <w:r w:rsidRPr="009F7BBF">
        <w:rPr>
          <w:rFonts w:cs="David" w:hint="cs"/>
          <w:rtl/>
        </w:rPr>
        <w:t xml:space="preserve">שם, </w:t>
      </w:r>
      <w:r w:rsidRPr="009F7BBF">
        <w:rPr>
          <w:rFonts w:cs="David"/>
          <w:rtl/>
        </w:rPr>
        <w:t>פסקאות 104-107</w:t>
      </w:r>
    </w:p>
  </w:footnote>
  <w:footnote w:id="9">
    <w:p w:rsidR="00FF4538" w:rsidRPr="009F7BBF" w:rsidRDefault="00FF4538" w:rsidP="00045BCD">
      <w:pPr>
        <w:pStyle w:val="aa"/>
        <w:rPr>
          <w:rFonts w:cs="David"/>
          <w:rtl/>
        </w:rPr>
      </w:pPr>
      <w:r w:rsidRPr="009F7BBF">
        <w:rPr>
          <w:rStyle w:val="ac"/>
          <w:rFonts w:cs="David"/>
        </w:rPr>
        <w:footnoteRef/>
      </w:r>
      <w:r w:rsidRPr="009F7BBF">
        <w:rPr>
          <w:rFonts w:cs="David"/>
          <w:rtl/>
        </w:rPr>
        <w:t xml:space="preserve"> </w:t>
      </w:r>
      <w:r w:rsidRPr="009F7BBF">
        <w:rPr>
          <w:rFonts w:cs="David" w:hint="cs"/>
          <w:rtl/>
        </w:rPr>
        <w:t>בהתאם לסעיף 12(1) ל-</w:t>
      </w:r>
      <w:r w:rsidRPr="009F7BBF">
        <w:rPr>
          <w:rFonts w:cs="David"/>
        </w:rPr>
        <w:t xml:space="preserve"> E-Commerce Directive</w:t>
      </w:r>
      <w:r w:rsidRPr="009F7BBF">
        <w:rPr>
          <w:rFonts w:cs="David" w:hint="cs"/>
          <w:rtl/>
        </w:rPr>
        <w:t xml:space="preserve">אשר זמינה בקישור להלן: </w:t>
      </w:r>
      <w:hyperlink r:id="rId5" w:history="1">
        <w:r w:rsidRPr="009F7BBF">
          <w:rPr>
            <w:rStyle w:val="Hyperlink"/>
            <w:rFonts w:cs="David"/>
          </w:rPr>
          <w:t>http://eur-lex.europa.eu/LexUriServ/LexUriServ.do?uri=CELEX:32000L0031:en:HTML</w:t>
        </w:r>
      </w:hyperlink>
    </w:p>
  </w:footnote>
  <w:footnote w:id="10">
    <w:p w:rsidR="00FF4538" w:rsidRPr="009F7BBF" w:rsidRDefault="00FF4538" w:rsidP="00A1394E">
      <w:pPr>
        <w:pStyle w:val="aa"/>
        <w:jc w:val="both"/>
        <w:rPr>
          <w:rFonts w:cs="David"/>
          <w:rtl/>
        </w:rPr>
      </w:pPr>
      <w:r w:rsidRPr="009F7BBF">
        <w:rPr>
          <w:rStyle w:val="ac"/>
          <w:rFonts w:cs="David"/>
        </w:rPr>
        <w:footnoteRef/>
      </w:r>
      <w:r w:rsidRPr="009F7BBF">
        <w:rPr>
          <w:rFonts w:cs="David"/>
          <w:rtl/>
        </w:rPr>
        <w:t xml:space="preserve"> </w:t>
      </w:r>
      <w:r w:rsidRPr="009F7BBF">
        <w:rPr>
          <w:rFonts w:cs="David" w:hint="cs"/>
          <w:rtl/>
        </w:rPr>
        <w:t xml:space="preserve"> עניין פוקס, לעיל ה"ש 7, פסקאות </w:t>
      </w:r>
      <w:r w:rsidRPr="009F7BBF">
        <w:rPr>
          <w:rFonts w:cs="David"/>
          <w:rtl/>
        </w:rPr>
        <w:t>159-160</w:t>
      </w:r>
      <w:r w:rsidRPr="009F7BBF">
        <w:rPr>
          <w:rFonts w:cs="David" w:hint="cs"/>
          <w:rtl/>
        </w:rPr>
        <w:t>.</w:t>
      </w:r>
    </w:p>
  </w:footnote>
  <w:footnote w:id="11">
    <w:p w:rsidR="00FF4538" w:rsidRPr="009F7BBF" w:rsidRDefault="00FF4538">
      <w:pPr>
        <w:pStyle w:val="aa"/>
        <w:rPr>
          <w:rFonts w:cs="David"/>
          <w:rtl/>
        </w:rPr>
      </w:pPr>
      <w:r w:rsidRPr="009F7BBF">
        <w:rPr>
          <w:rStyle w:val="ac"/>
          <w:rFonts w:cs="David"/>
        </w:rPr>
        <w:footnoteRef/>
      </w:r>
      <w:r w:rsidRPr="009F7BBF">
        <w:rPr>
          <w:rFonts w:cs="David"/>
          <w:rtl/>
        </w:rPr>
        <w:t xml:space="preserve"> </w:t>
      </w:r>
      <w:r w:rsidRPr="009F7BBF">
        <w:rPr>
          <w:rFonts w:cs="David" w:hint="cs"/>
          <w:rtl/>
        </w:rPr>
        <w:t>שם, פסקאות</w:t>
      </w:r>
      <w:r w:rsidRPr="009F7BBF">
        <w:rPr>
          <w:rFonts w:cs="David"/>
          <w:rtl/>
        </w:rPr>
        <w:t xml:space="preserve"> 161-162</w:t>
      </w:r>
      <w:r w:rsidRPr="009F7BBF">
        <w:rPr>
          <w:rFonts w:cs="David" w:hint="cs"/>
          <w:rtl/>
        </w:rPr>
        <w:t>.</w:t>
      </w:r>
    </w:p>
  </w:footnote>
  <w:footnote w:id="12">
    <w:p w:rsidR="00FF4538" w:rsidRPr="009F7BBF" w:rsidRDefault="00FF4538" w:rsidP="004A1247">
      <w:pPr>
        <w:pStyle w:val="aa"/>
        <w:jc w:val="both"/>
        <w:rPr>
          <w:rFonts w:cs="David"/>
          <w:rtl/>
        </w:rPr>
      </w:pPr>
      <w:r w:rsidRPr="009F7BBF">
        <w:rPr>
          <w:rStyle w:val="ac"/>
          <w:rFonts w:cs="David"/>
        </w:rPr>
        <w:footnoteRef/>
      </w:r>
      <w:r w:rsidRPr="009F7BBF">
        <w:rPr>
          <w:rFonts w:cs="David"/>
          <w:rtl/>
        </w:rPr>
        <w:t xml:space="preserve"> </w:t>
      </w:r>
      <w:r w:rsidR="000651A5" w:rsidRPr="009F7BBF">
        <w:rPr>
          <w:rFonts w:cs="David" w:hint="cs"/>
          <w:rtl/>
        </w:rPr>
        <w:t xml:space="preserve">שם, </w:t>
      </w:r>
      <w:r w:rsidRPr="009F7BBF">
        <w:rPr>
          <w:rFonts w:cs="David"/>
          <w:rtl/>
        </w:rPr>
        <w:t>פסקה 148</w:t>
      </w:r>
      <w:r w:rsidR="000651A5" w:rsidRPr="009F7BBF">
        <w:rPr>
          <w:rFonts w:cs="David" w:hint="cs"/>
          <w:rtl/>
        </w:rPr>
        <w:t>.</w:t>
      </w:r>
    </w:p>
  </w:footnote>
  <w:footnote w:id="13">
    <w:p w:rsidR="00FF4538" w:rsidRPr="009F7BBF" w:rsidRDefault="00FF4538" w:rsidP="00E85FF2">
      <w:pPr>
        <w:pStyle w:val="aa"/>
        <w:jc w:val="both"/>
        <w:rPr>
          <w:rFonts w:cs="David"/>
        </w:rPr>
      </w:pPr>
      <w:r w:rsidRPr="009F7BBF">
        <w:rPr>
          <w:rStyle w:val="ac"/>
          <w:rFonts w:cs="David"/>
        </w:rPr>
        <w:footnoteRef/>
      </w:r>
      <w:r w:rsidRPr="009F7BBF">
        <w:rPr>
          <w:rFonts w:cs="David"/>
          <w:rtl/>
        </w:rPr>
        <w:t xml:space="preserve"> </w:t>
      </w:r>
      <w:r w:rsidR="000651A5" w:rsidRPr="009F7BBF">
        <w:rPr>
          <w:rFonts w:cs="David" w:hint="cs"/>
          <w:rtl/>
        </w:rPr>
        <w:t xml:space="preserve">שם, </w:t>
      </w:r>
      <w:r w:rsidRPr="009F7BBF">
        <w:rPr>
          <w:rFonts w:cs="David"/>
          <w:rtl/>
        </w:rPr>
        <w:t>פסקה 149</w:t>
      </w:r>
      <w:r w:rsidR="000651A5" w:rsidRPr="009F7BBF">
        <w:rPr>
          <w:rFonts w:cs="David" w:hint="cs"/>
          <w:rtl/>
        </w:rPr>
        <w:t>.</w:t>
      </w:r>
    </w:p>
  </w:footnote>
  <w:footnote w:id="14">
    <w:p w:rsidR="00FF4538" w:rsidRPr="009F7BBF" w:rsidRDefault="00FF4538" w:rsidP="009E2E68">
      <w:pPr>
        <w:pStyle w:val="aa"/>
        <w:jc w:val="both"/>
        <w:rPr>
          <w:rFonts w:cs="David"/>
          <w:rtl/>
        </w:rPr>
      </w:pPr>
      <w:r w:rsidRPr="009F7BBF">
        <w:rPr>
          <w:rStyle w:val="ac"/>
          <w:rFonts w:cs="David"/>
        </w:rPr>
        <w:footnoteRef/>
      </w:r>
      <w:r w:rsidRPr="009F7BBF">
        <w:rPr>
          <w:rFonts w:cs="David"/>
          <w:rtl/>
        </w:rPr>
        <w:t xml:space="preserve"> </w:t>
      </w:r>
      <w:r w:rsidRPr="009F7BBF">
        <w:rPr>
          <w:rFonts w:cs="David" w:hint="cs"/>
          <w:rtl/>
        </w:rPr>
        <w:t xml:space="preserve">שם, </w:t>
      </w:r>
      <w:r w:rsidRPr="009F7BBF">
        <w:rPr>
          <w:rFonts w:cs="David"/>
          <w:rtl/>
        </w:rPr>
        <w:t>פסקה 156</w:t>
      </w:r>
      <w:r w:rsidRPr="009F7BBF">
        <w:rPr>
          <w:rFonts w:cs="David" w:hint="cs"/>
          <w:rtl/>
        </w:rPr>
        <w:t>.</w:t>
      </w:r>
    </w:p>
  </w:footnote>
  <w:footnote w:id="15">
    <w:p w:rsidR="00FF4538" w:rsidRPr="009F7BBF" w:rsidRDefault="00FF4538">
      <w:pPr>
        <w:pStyle w:val="aa"/>
        <w:rPr>
          <w:rFonts w:cs="David"/>
          <w:rtl/>
        </w:rPr>
      </w:pPr>
      <w:r w:rsidRPr="009F7BBF">
        <w:rPr>
          <w:rStyle w:val="ac"/>
          <w:rFonts w:cs="David"/>
        </w:rPr>
        <w:footnoteRef/>
      </w:r>
      <w:r w:rsidRPr="009F7BBF">
        <w:rPr>
          <w:rFonts w:cs="David"/>
          <w:rtl/>
        </w:rPr>
        <w:t xml:space="preserve"> </w:t>
      </w:r>
      <w:r w:rsidRPr="009F7BBF">
        <w:rPr>
          <w:rFonts w:cs="David" w:hint="cs"/>
          <w:rtl/>
        </w:rPr>
        <w:t>שם, פסקאות</w:t>
      </w:r>
      <w:r w:rsidRPr="009F7BBF">
        <w:rPr>
          <w:rFonts w:cs="David"/>
          <w:rtl/>
        </w:rPr>
        <w:t xml:space="preserve"> 179-185</w:t>
      </w:r>
      <w:r w:rsidRPr="009F7BBF">
        <w:rPr>
          <w:rFonts w:cs="David" w:hint="cs"/>
          <w:rtl/>
        </w:rPr>
        <w:t>.</w:t>
      </w:r>
    </w:p>
  </w:footnote>
  <w:footnote w:id="16">
    <w:p w:rsidR="00FF4538" w:rsidRPr="009F7BBF" w:rsidRDefault="00FF4538" w:rsidP="00241396">
      <w:pPr>
        <w:pStyle w:val="aa"/>
        <w:rPr>
          <w:rFonts w:cs="David"/>
          <w:rtl/>
        </w:rPr>
      </w:pPr>
      <w:r w:rsidRPr="009F7BBF">
        <w:rPr>
          <w:rStyle w:val="ac"/>
          <w:rFonts w:cs="David"/>
        </w:rPr>
        <w:footnoteRef/>
      </w:r>
      <w:r w:rsidRPr="009F7BBF">
        <w:rPr>
          <w:rFonts w:cs="David"/>
          <w:rtl/>
        </w:rPr>
        <w:t xml:space="preserve"> </w:t>
      </w:r>
      <w:r w:rsidRPr="009F7BBF">
        <w:rPr>
          <w:rFonts w:cs="David" w:hint="cs"/>
          <w:rtl/>
        </w:rPr>
        <w:t xml:space="preserve">שם, פסקאות </w:t>
      </w:r>
      <w:r w:rsidRPr="009F7BBF">
        <w:rPr>
          <w:rFonts w:cs="David"/>
          <w:rtl/>
        </w:rPr>
        <w:t>192-198</w:t>
      </w:r>
      <w:r w:rsidRPr="009F7BBF">
        <w:rPr>
          <w:rFonts w:cs="David" w:hint="cs"/>
          <w:rtl/>
        </w:rPr>
        <w:t>.</w:t>
      </w:r>
    </w:p>
  </w:footnote>
  <w:footnote w:id="17">
    <w:p w:rsidR="00FF4538" w:rsidRPr="009F7BBF" w:rsidRDefault="00FF4538" w:rsidP="005E394C">
      <w:pPr>
        <w:pStyle w:val="aa"/>
        <w:jc w:val="both"/>
        <w:rPr>
          <w:rFonts w:cs="David"/>
          <w:rtl/>
        </w:rPr>
      </w:pPr>
      <w:r w:rsidRPr="009F7BBF">
        <w:rPr>
          <w:rStyle w:val="ac"/>
          <w:rFonts w:cs="David"/>
        </w:rPr>
        <w:footnoteRef/>
      </w:r>
      <w:r w:rsidRPr="009F7BBF">
        <w:rPr>
          <w:rFonts w:cs="David"/>
          <w:rtl/>
        </w:rPr>
        <w:t xml:space="preserve"> </w:t>
      </w:r>
      <w:r w:rsidRPr="009F7BBF">
        <w:rPr>
          <w:rFonts w:cs="David" w:hint="cs"/>
          <w:rtl/>
        </w:rPr>
        <w:t xml:space="preserve"> </w:t>
      </w:r>
      <w:r w:rsidR="000651A5" w:rsidRPr="009F7BBF">
        <w:rPr>
          <w:rFonts w:cs="David" w:hint="cs"/>
          <w:rtl/>
        </w:rPr>
        <w:t xml:space="preserve">שם, </w:t>
      </w:r>
      <w:r w:rsidRPr="009F7BBF">
        <w:rPr>
          <w:rFonts w:cs="David"/>
          <w:rtl/>
        </w:rPr>
        <w:t>פסקה 200</w:t>
      </w:r>
      <w:r w:rsidR="000651A5" w:rsidRPr="009F7BBF">
        <w:rPr>
          <w:rFonts w:cs="David" w:hint="cs"/>
          <w:rtl/>
        </w:rPr>
        <w:t>.</w:t>
      </w:r>
    </w:p>
  </w:footnote>
  <w:footnote w:id="18">
    <w:p w:rsidR="00FF4538" w:rsidRPr="009F7BBF" w:rsidRDefault="00FF4538" w:rsidP="005E394C">
      <w:pPr>
        <w:pStyle w:val="aa"/>
        <w:jc w:val="both"/>
        <w:rPr>
          <w:rFonts w:cs="David"/>
        </w:rPr>
      </w:pPr>
      <w:r w:rsidRPr="009F7BBF">
        <w:rPr>
          <w:rStyle w:val="ac"/>
          <w:rFonts w:cs="David"/>
        </w:rPr>
        <w:footnoteRef/>
      </w:r>
      <w:r w:rsidRPr="009F7BBF">
        <w:rPr>
          <w:rFonts w:cs="David" w:hint="cs"/>
          <w:rtl/>
        </w:rPr>
        <w:t xml:space="preserve"> </w:t>
      </w:r>
      <w:r w:rsidR="000651A5" w:rsidRPr="009F7BBF">
        <w:rPr>
          <w:rFonts w:cs="David" w:hint="cs"/>
          <w:rtl/>
        </w:rPr>
        <w:t xml:space="preserve">שם, </w:t>
      </w:r>
      <w:r w:rsidRPr="009F7BBF">
        <w:rPr>
          <w:rFonts w:cs="David"/>
          <w:rtl/>
        </w:rPr>
        <w:t>פסקה 201</w:t>
      </w:r>
      <w:r w:rsidR="000651A5" w:rsidRPr="009F7BBF">
        <w:rPr>
          <w:rFonts w:cs="David" w:hint="cs"/>
          <w:rtl/>
        </w:rPr>
        <w:t>.</w:t>
      </w:r>
    </w:p>
  </w:footnote>
  <w:footnote w:id="19">
    <w:p w:rsidR="00FF4538" w:rsidRPr="009F7BBF" w:rsidRDefault="00FF4538" w:rsidP="00CE1E33">
      <w:pPr>
        <w:pStyle w:val="aa"/>
        <w:rPr>
          <w:rFonts w:cs="David"/>
          <w:rtl/>
        </w:rPr>
      </w:pPr>
      <w:r w:rsidRPr="009F7BBF">
        <w:rPr>
          <w:rStyle w:val="ac"/>
          <w:rFonts w:cs="David"/>
        </w:rPr>
        <w:footnoteRef/>
      </w:r>
      <w:r w:rsidRPr="009F7BBF">
        <w:rPr>
          <w:rFonts w:cs="David"/>
          <w:rtl/>
        </w:rPr>
        <w:t xml:space="preserve"> </w:t>
      </w:r>
      <w:r w:rsidRPr="009F7BBF">
        <w:rPr>
          <w:rFonts w:cs="David"/>
          <w:color w:val="000000"/>
        </w:rPr>
        <w:t>Twentieth Century Fox Film Corp v British Telecommunications plc (No 2)</w:t>
      </w:r>
      <w:r w:rsidRPr="009F7BBF">
        <w:rPr>
          <w:rStyle w:val="apple-converted-space"/>
          <w:rFonts w:cs="David"/>
          <w:color w:val="000000"/>
        </w:rPr>
        <w:t> </w:t>
      </w:r>
      <w:hyperlink r:id="rId6" w:tooltip="Link to BAILII version" w:history="1">
        <w:r w:rsidRPr="009F7BBF">
          <w:rPr>
            <w:rStyle w:val="Hyperlink"/>
            <w:rFonts w:cs="David"/>
          </w:rPr>
          <w:t>[2011] EWHC 2714 (Ch)</w:t>
        </w:r>
      </w:hyperlink>
    </w:p>
  </w:footnote>
  <w:footnote w:id="20">
    <w:p w:rsidR="00FF4538" w:rsidRPr="009F7BBF" w:rsidRDefault="00FF4538" w:rsidP="00CE1E33">
      <w:pPr>
        <w:pStyle w:val="aa"/>
        <w:rPr>
          <w:rFonts w:cs="David"/>
          <w:rtl/>
        </w:rPr>
      </w:pPr>
      <w:r w:rsidRPr="009F7BBF">
        <w:rPr>
          <w:rStyle w:val="ac"/>
          <w:rFonts w:cs="David"/>
        </w:rPr>
        <w:footnoteRef/>
      </w:r>
      <w:r w:rsidRPr="009F7BBF">
        <w:rPr>
          <w:rFonts w:cs="David" w:hint="cs"/>
          <w:rtl/>
        </w:rPr>
        <w:t xml:space="preserve"> שם</w:t>
      </w:r>
      <w:r w:rsidR="00502518" w:rsidRPr="009F7BBF">
        <w:rPr>
          <w:rFonts w:cs="David" w:hint="cs"/>
          <w:rtl/>
        </w:rPr>
        <w:t>, פסקה 56</w:t>
      </w:r>
      <w:r w:rsidRPr="009F7BBF">
        <w:rPr>
          <w:rFonts w:cs="David" w:hint="cs"/>
          <w:rtl/>
        </w:rPr>
        <w:t>:</w:t>
      </w:r>
    </w:p>
    <w:p w:rsidR="00FF4538" w:rsidRPr="009F7BBF" w:rsidRDefault="00FF4538" w:rsidP="00CE1E33">
      <w:pPr>
        <w:pStyle w:val="aa"/>
        <w:bidi w:val="0"/>
        <w:rPr>
          <w:rFonts w:cs="David"/>
        </w:rPr>
      </w:pPr>
      <w:r w:rsidRPr="009F7BBF">
        <w:rPr>
          <w:rFonts w:cs="David"/>
        </w:rPr>
        <w:t>"1…. The technical means to be adopted are</w:t>
      </w:r>
      <w:r w:rsidRPr="009F7BBF">
        <w:rPr>
          <w:rFonts w:cs="David"/>
          <w:rtl/>
        </w:rPr>
        <w:t>:</w:t>
      </w:r>
    </w:p>
    <w:p w:rsidR="00FF4538" w:rsidRPr="009F7BBF" w:rsidRDefault="00FF4538" w:rsidP="00CE1E33">
      <w:pPr>
        <w:pStyle w:val="aa"/>
        <w:bidi w:val="0"/>
        <w:rPr>
          <w:rFonts w:cs="David"/>
        </w:rPr>
      </w:pPr>
      <w:r w:rsidRPr="009F7BBF">
        <w:rPr>
          <w:rFonts w:cs="David"/>
        </w:rPr>
        <w:t>(i) IP address re-routing in respect of each and every IP address from which the said website operates and which is notified in writing to the Respondent by the Applicants or their agents; and</w:t>
      </w:r>
    </w:p>
    <w:p w:rsidR="00FF4538" w:rsidRPr="009F7BBF" w:rsidRDefault="00FF4538" w:rsidP="00CE1E33">
      <w:pPr>
        <w:pStyle w:val="aa"/>
        <w:bidi w:val="0"/>
        <w:rPr>
          <w:rFonts w:cs="David"/>
        </w:rPr>
      </w:pPr>
      <w:r w:rsidRPr="009F7BBF">
        <w:rPr>
          <w:rFonts w:cs="David"/>
        </w:rPr>
        <w:t>(ii) DPI-based URL blocking utilising at least summary analysis in respect of each and every URL available at the said website and its domains and sub-domains and which is notified in writing to the Respondent by the Applicants or their agents</w:t>
      </w:r>
      <w:r w:rsidRPr="009F7BBF">
        <w:rPr>
          <w:rFonts w:cs="David"/>
          <w:rtl/>
        </w:rPr>
        <w:t>.</w:t>
      </w:r>
    </w:p>
    <w:p w:rsidR="00FF4538" w:rsidRPr="009F7BBF" w:rsidRDefault="00FF4538" w:rsidP="00CE1E33">
      <w:pPr>
        <w:pStyle w:val="aa"/>
        <w:bidi w:val="0"/>
        <w:rPr>
          <w:rFonts w:cs="David"/>
        </w:rPr>
      </w:pPr>
      <w:r w:rsidRPr="009F7BBF">
        <w:rPr>
          <w:rFonts w:cs="David"/>
        </w:rPr>
        <w:t>2. For the avoidance of doubt paragraph 1 is complied with if the Respondent uses the system known as Cleanfeed and does not require the Respondent to adopt DPI-based URL blocking utilising detailed analysis..."</w:t>
      </w:r>
    </w:p>
    <w:p w:rsidR="00FF4538" w:rsidRPr="009F7BBF" w:rsidRDefault="00FF4538" w:rsidP="009F7BBF">
      <w:pPr>
        <w:pStyle w:val="aa"/>
        <w:rPr>
          <w:rFonts w:cs="David"/>
          <w:rtl/>
        </w:rPr>
      </w:pPr>
      <w:r w:rsidRPr="009F7BBF">
        <w:rPr>
          <w:rFonts w:cs="David" w:hint="cs"/>
          <w:rtl/>
        </w:rPr>
        <w:t xml:space="preserve">לסקירה של טכנולוגיית חסימת אתרים שמחזיקות ספקיות הגישה בבריטניה ר' פסק הדין בעניין </w:t>
      </w:r>
      <w:r w:rsidRPr="009F7BBF">
        <w:rPr>
          <w:rFonts w:cs="David" w:hint="cs"/>
          <w:b/>
          <w:bCs/>
          <w:rtl/>
        </w:rPr>
        <w:t>קרטייה</w:t>
      </w:r>
      <w:r w:rsidRPr="009F7BBF">
        <w:rPr>
          <w:rFonts w:cs="David" w:hint="cs"/>
          <w:rtl/>
        </w:rPr>
        <w:t>, בה"ש</w:t>
      </w:r>
      <w:r w:rsidR="009F7BBF">
        <w:rPr>
          <w:rFonts w:cs="David" w:hint="cs"/>
          <w:rtl/>
        </w:rPr>
        <w:t xml:space="preserve"> 30</w:t>
      </w:r>
      <w:r w:rsidRPr="009F7BBF">
        <w:rPr>
          <w:rFonts w:cs="David" w:hint="cs"/>
          <w:rtl/>
        </w:rPr>
        <w:t xml:space="preserve"> להלן, בפסקאות 38-51.</w:t>
      </w:r>
      <w:r w:rsidR="00F57176" w:rsidRPr="009F7BBF">
        <w:rPr>
          <w:rFonts w:cs="David" w:hint="cs"/>
          <w:rtl/>
        </w:rPr>
        <w:t xml:space="preserve"> הסברים על מונחים טכנולוגיים ואחרים מצויים בפסק הדין בעניין </w:t>
      </w:r>
      <w:r w:rsidR="00F57176" w:rsidRPr="009F7BBF">
        <w:rPr>
          <w:rFonts w:cs="David"/>
        </w:rPr>
        <w:t>Roadshow Films</w:t>
      </w:r>
      <w:r w:rsidR="00F57176" w:rsidRPr="009F7BBF">
        <w:rPr>
          <w:rFonts w:cs="David" w:hint="cs"/>
          <w:rtl/>
        </w:rPr>
        <w:t xml:space="preserve">, ה"ש </w:t>
      </w:r>
      <w:r w:rsidR="00793ECD" w:rsidRPr="009F7BBF">
        <w:rPr>
          <w:rFonts w:cs="David" w:hint="cs"/>
          <w:rtl/>
        </w:rPr>
        <w:t>48</w:t>
      </w:r>
      <w:r w:rsidR="00F57176" w:rsidRPr="009F7BBF">
        <w:rPr>
          <w:rFonts w:cs="David" w:hint="cs"/>
          <w:rtl/>
        </w:rPr>
        <w:t xml:space="preserve"> להלן, בפסקאות 7-24.</w:t>
      </w:r>
    </w:p>
  </w:footnote>
  <w:footnote w:id="21">
    <w:p w:rsidR="0016061E" w:rsidRPr="009F7BBF" w:rsidRDefault="0016061E" w:rsidP="00AA4CAE">
      <w:pPr>
        <w:pStyle w:val="aa"/>
        <w:rPr>
          <w:rFonts w:cs="David"/>
          <w:rtl/>
        </w:rPr>
      </w:pPr>
      <w:r w:rsidRPr="009F7BBF">
        <w:rPr>
          <w:rStyle w:val="ac"/>
          <w:rFonts w:cs="David"/>
        </w:rPr>
        <w:footnoteRef/>
      </w:r>
      <w:r w:rsidRPr="009F7BBF">
        <w:rPr>
          <w:rFonts w:cs="David"/>
          <w:rtl/>
        </w:rPr>
        <w:t xml:space="preserve"> </w:t>
      </w:r>
      <w:r w:rsidR="000651A5" w:rsidRPr="009F7BBF">
        <w:rPr>
          <w:rFonts w:cs="David" w:hint="cs"/>
          <w:rtl/>
        </w:rPr>
        <w:t xml:space="preserve">עניין פוקס 2, לעיל הערה 20, </w:t>
      </w:r>
      <w:r w:rsidR="00AA4CAE" w:rsidRPr="009F7BBF">
        <w:rPr>
          <w:rFonts w:cs="David" w:hint="cs"/>
          <w:rtl/>
        </w:rPr>
        <w:t>פסקה 6.</w:t>
      </w:r>
    </w:p>
  </w:footnote>
  <w:footnote w:id="22">
    <w:p w:rsidR="00FF4538" w:rsidRPr="009F7BBF" w:rsidRDefault="00FF4538" w:rsidP="005E394C">
      <w:pPr>
        <w:pStyle w:val="aa"/>
        <w:jc w:val="both"/>
        <w:rPr>
          <w:rFonts w:cs="David"/>
          <w:rtl/>
        </w:rPr>
      </w:pPr>
      <w:r w:rsidRPr="009F7BBF">
        <w:rPr>
          <w:rFonts w:cs="David"/>
        </w:rPr>
        <w:t xml:space="preserve"> </w:t>
      </w:r>
      <w:r w:rsidRPr="009F7BBF">
        <w:rPr>
          <w:rStyle w:val="ac"/>
          <w:rFonts w:cs="David"/>
        </w:rPr>
        <w:footnoteRef/>
      </w:r>
      <w:r w:rsidR="000651A5" w:rsidRPr="009F7BBF">
        <w:rPr>
          <w:rFonts w:cs="David" w:hint="cs"/>
          <w:rtl/>
        </w:rPr>
        <w:t xml:space="preserve">שם, </w:t>
      </w:r>
      <w:r w:rsidRPr="009F7BBF">
        <w:rPr>
          <w:rFonts w:cs="David" w:hint="cs"/>
          <w:rtl/>
        </w:rPr>
        <w:t>פסקאות</w:t>
      </w:r>
      <w:r w:rsidRPr="009F7BBF">
        <w:rPr>
          <w:rFonts w:cs="David"/>
          <w:rtl/>
        </w:rPr>
        <w:t xml:space="preserve"> 10-11</w:t>
      </w:r>
    </w:p>
  </w:footnote>
  <w:footnote w:id="23">
    <w:p w:rsidR="00FF4538" w:rsidRPr="009F7BBF" w:rsidRDefault="00FF4538" w:rsidP="005E394C">
      <w:pPr>
        <w:pStyle w:val="aa"/>
        <w:jc w:val="both"/>
        <w:rPr>
          <w:rFonts w:cs="David"/>
        </w:rPr>
      </w:pPr>
      <w:r w:rsidRPr="009F7BBF">
        <w:rPr>
          <w:rFonts w:cs="David"/>
        </w:rPr>
        <w:t xml:space="preserve"> </w:t>
      </w:r>
      <w:r w:rsidRPr="009F7BBF">
        <w:rPr>
          <w:rStyle w:val="ac"/>
          <w:rFonts w:cs="David"/>
        </w:rPr>
        <w:footnoteRef/>
      </w:r>
      <w:r w:rsidR="000651A5" w:rsidRPr="009F7BBF">
        <w:rPr>
          <w:rFonts w:cs="David" w:hint="cs"/>
          <w:rtl/>
        </w:rPr>
        <w:t xml:space="preserve">שם, </w:t>
      </w:r>
      <w:r w:rsidRPr="009F7BBF">
        <w:rPr>
          <w:rFonts w:cs="David"/>
          <w:rtl/>
        </w:rPr>
        <w:t>פסקה 12</w:t>
      </w:r>
    </w:p>
  </w:footnote>
  <w:footnote w:id="24">
    <w:p w:rsidR="00FF4538" w:rsidRPr="009F7BBF" w:rsidRDefault="00FF4538" w:rsidP="00B559BF">
      <w:pPr>
        <w:pStyle w:val="aa"/>
        <w:jc w:val="both"/>
        <w:rPr>
          <w:rFonts w:cs="David"/>
          <w:rtl/>
        </w:rPr>
      </w:pPr>
      <w:r w:rsidRPr="009F7BBF">
        <w:rPr>
          <w:rFonts w:cs="David"/>
        </w:rPr>
        <w:t xml:space="preserve"> </w:t>
      </w:r>
      <w:r w:rsidRPr="009F7BBF">
        <w:rPr>
          <w:rStyle w:val="ac"/>
          <w:rFonts w:cs="David"/>
        </w:rPr>
        <w:footnoteRef/>
      </w:r>
      <w:r w:rsidR="000651A5" w:rsidRPr="009F7BBF">
        <w:rPr>
          <w:rFonts w:cs="David" w:hint="cs"/>
          <w:rtl/>
        </w:rPr>
        <w:t xml:space="preserve">שם, </w:t>
      </w:r>
      <w:r w:rsidRPr="009F7BBF">
        <w:rPr>
          <w:rFonts w:cs="David"/>
          <w:rtl/>
        </w:rPr>
        <w:t>פסקה 14</w:t>
      </w:r>
    </w:p>
  </w:footnote>
  <w:footnote w:id="25">
    <w:p w:rsidR="00FF4538" w:rsidRPr="009F7BBF" w:rsidRDefault="00FF4538" w:rsidP="005E394C">
      <w:pPr>
        <w:pStyle w:val="aa"/>
        <w:jc w:val="both"/>
        <w:rPr>
          <w:rFonts w:cs="David"/>
          <w:rtl/>
        </w:rPr>
      </w:pPr>
      <w:r w:rsidRPr="009F7BBF">
        <w:rPr>
          <w:rStyle w:val="ac"/>
          <w:rFonts w:cs="David"/>
        </w:rPr>
        <w:footnoteRef/>
      </w:r>
      <w:r w:rsidRPr="009F7BBF">
        <w:rPr>
          <w:rFonts w:cs="David"/>
          <w:rtl/>
        </w:rPr>
        <w:t xml:space="preserve"> </w:t>
      </w:r>
      <w:r w:rsidR="000651A5" w:rsidRPr="009F7BBF">
        <w:rPr>
          <w:rFonts w:cs="David" w:hint="cs"/>
          <w:rtl/>
        </w:rPr>
        <w:t xml:space="preserve">שם, </w:t>
      </w:r>
      <w:r w:rsidRPr="009F7BBF">
        <w:rPr>
          <w:rFonts w:cs="David" w:hint="cs"/>
          <w:rtl/>
        </w:rPr>
        <w:t xml:space="preserve">פסקאות </w:t>
      </w:r>
      <w:r w:rsidRPr="009F7BBF">
        <w:rPr>
          <w:rFonts w:cs="David"/>
        </w:rPr>
        <w:t xml:space="preserve"> 32-33</w:t>
      </w:r>
    </w:p>
  </w:footnote>
  <w:footnote w:id="26">
    <w:p w:rsidR="00FF4538" w:rsidRPr="009F7BBF" w:rsidRDefault="00FF4538" w:rsidP="00E13CE0">
      <w:pPr>
        <w:pStyle w:val="aa"/>
        <w:jc w:val="both"/>
        <w:rPr>
          <w:rFonts w:cs="David"/>
          <w:rtl/>
        </w:rPr>
      </w:pPr>
      <w:r w:rsidRPr="009F7BBF">
        <w:rPr>
          <w:rStyle w:val="ac"/>
          <w:rFonts w:cs="David"/>
        </w:rPr>
        <w:footnoteRef/>
      </w:r>
      <w:r w:rsidRPr="009F7BBF">
        <w:rPr>
          <w:rFonts w:cs="David" w:hint="cs"/>
          <w:rtl/>
        </w:rPr>
        <w:t xml:space="preserve"> </w:t>
      </w:r>
      <w:r w:rsidR="000651A5" w:rsidRPr="009F7BBF">
        <w:rPr>
          <w:rFonts w:cs="David" w:hint="cs"/>
          <w:rtl/>
        </w:rPr>
        <w:t xml:space="preserve">שם, </w:t>
      </w:r>
      <w:r w:rsidRPr="009F7BBF">
        <w:rPr>
          <w:rFonts w:cs="David" w:hint="cs"/>
          <w:rtl/>
        </w:rPr>
        <w:t>פסקאות</w:t>
      </w:r>
      <w:r w:rsidRPr="009F7BBF">
        <w:rPr>
          <w:rFonts w:cs="David"/>
          <w:rtl/>
        </w:rPr>
        <w:t xml:space="preserve"> </w:t>
      </w:r>
      <w:r w:rsidRPr="009F7BBF">
        <w:rPr>
          <w:rFonts w:cs="David" w:hint="cs"/>
          <w:rtl/>
        </w:rPr>
        <w:t>44-46.</w:t>
      </w:r>
    </w:p>
  </w:footnote>
  <w:footnote w:id="27">
    <w:p w:rsidR="00FF4538" w:rsidRPr="009F7BBF" w:rsidRDefault="00FF4538" w:rsidP="005E394C">
      <w:pPr>
        <w:pStyle w:val="aa"/>
        <w:jc w:val="both"/>
        <w:rPr>
          <w:rFonts w:cs="David"/>
          <w:rtl/>
        </w:rPr>
      </w:pPr>
      <w:r w:rsidRPr="009F7BBF">
        <w:rPr>
          <w:rStyle w:val="ac"/>
          <w:rFonts w:cs="David"/>
        </w:rPr>
        <w:footnoteRef/>
      </w:r>
      <w:r w:rsidRPr="009F7BBF">
        <w:rPr>
          <w:rFonts w:cs="David" w:hint="cs"/>
          <w:rtl/>
        </w:rPr>
        <w:t xml:space="preserve"> </w:t>
      </w:r>
      <w:r w:rsidR="000651A5" w:rsidRPr="009F7BBF">
        <w:rPr>
          <w:rFonts w:cs="David" w:hint="cs"/>
          <w:rtl/>
        </w:rPr>
        <w:t xml:space="preserve">שם, </w:t>
      </w:r>
      <w:r w:rsidRPr="009F7BBF">
        <w:rPr>
          <w:rFonts w:cs="David"/>
          <w:rtl/>
        </w:rPr>
        <w:t>פסקה 56</w:t>
      </w:r>
      <w:r w:rsidR="000651A5" w:rsidRPr="009F7BBF">
        <w:rPr>
          <w:rFonts w:cs="David" w:hint="cs"/>
          <w:rtl/>
        </w:rPr>
        <w:t>.</w:t>
      </w:r>
    </w:p>
  </w:footnote>
  <w:footnote w:id="28">
    <w:p w:rsidR="00FF4538" w:rsidRPr="009F7BBF" w:rsidRDefault="00FF4538" w:rsidP="00D92D22">
      <w:pPr>
        <w:pStyle w:val="aa"/>
        <w:rPr>
          <w:rFonts w:cs="David"/>
          <w:rtl/>
        </w:rPr>
      </w:pPr>
      <w:r w:rsidRPr="009F7BBF">
        <w:rPr>
          <w:rStyle w:val="ac"/>
          <w:rFonts w:cs="David"/>
        </w:rPr>
        <w:footnoteRef/>
      </w:r>
      <w:r w:rsidRPr="009F7BBF">
        <w:rPr>
          <w:rFonts w:cs="David"/>
          <w:rtl/>
        </w:rPr>
        <w:t xml:space="preserve"> </w:t>
      </w:r>
      <w:r w:rsidRPr="009F7BBF">
        <w:rPr>
          <w:rFonts w:cs="David"/>
        </w:rPr>
        <w:t>The Football Association Premier League v. British Telecommunications</w:t>
      </w:r>
      <w:r w:rsidRPr="009F7BBF">
        <w:rPr>
          <w:rStyle w:val="Hyperlink"/>
          <w:rFonts w:cs="David"/>
        </w:rPr>
        <w:t xml:space="preserve"> </w:t>
      </w:r>
      <w:hyperlink r:id="rId7" w:history="1">
        <w:r w:rsidRPr="009F7BBF">
          <w:rPr>
            <w:rStyle w:val="Hyperlink"/>
            <w:rFonts w:cs="David"/>
          </w:rPr>
          <w:t>[2017] EWHC 480 (Ch</w:t>
        </w:r>
      </w:hyperlink>
      <w:r w:rsidRPr="009F7BBF">
        <w:rPr>
          <w:rStyle w:val="Hyperlink"/>
          <w:rFonts w:cs="David"/>
        </w:rPr>
        <w:t>)</w:t>
      </w:r>
      <w:r w:rsidRPr="009F7BBF">
        <w:rPr>
          <w:rFonts w:ascii="Arial" w:hAnsi="Arial" w:cs="David"/>
          <w:color w:val="000000"/>
        </w:rPr>
        <w:t> </w:t>
      </w:r>
    </w:p>
  </w:footnote>
  <w:footnote w:id="29">
    <w:p w:rsidR="00FF4538" w:rsidRPr="009F7BBF" w:rsidRDefault="00FF4538" w:rsidP="004F2B7B">
      <w:pPr>
        <w:pStyle w:val="aa"/>
        <w:rPr>
          <w:rFonts w:cs="David"/>
          <w:rtl/>
        </w:rPr>
      </w:pPr>
      <w:r w:rsidRPr="009F7BBF">
        <w:rPr>
          <w:rStyle w:val="ac"/>
          <w:rFonts w:cs="David"/>
        </w:rPr>
        <w:footnoteRef/>
      </w:r>
      <w:r w:rsidRPr="009F7BBF">
        <w:rPr>
          <w:rFonts w:cs="David" w:hint="cs"/>
          <w:rtl/>
        </w:rPr>
        <w:t xml:space="preserve"> </w:t>
      </w:r>
      <w:r w:rsidRPr="009F7BBF">
        <w:rPr>
          <w:rFonts w:cs="David"/>
        </w:rPr>
        <w:t xml:space="preserve">Union Des Associations Européennes De Football v. British Telecommunications </w:t>
      </w:r>
      <w:hyperlink r:id="rId8" w:history="1">
        <w:r w:rsidRPr="009F7BBF">
          <w:rPr>
            <w:rStyle w:val="Hyperlink"/>
            <w:rFonts w:cs="David"/>
          </w:rPr>
          <w:t>[2017] EWHC 3414 (Ch)</w:t>
        </w:r>
      </w:hyperlink>
      <w:r w:rsidRPr="009F7BBF">
        <w:rPr>
          <w:rFonts w:cs="David"/>
        </w:rPr>
        <w:t xml:space="preserve"> </w:t>
      </w:r>
    </w:p>
  </w:footnote>
  <w:footnote w:id="30">
    <w:p w:rsidR="00FF4538" w:rsidRPr="009F7BBF" w:rsidRDefault="00FF4538" w:rsidP="00D96EC7">
      <w:pPr>
        <w:pStyle w:val="aa"/>
        <w:rPr>
          <w:rFonts w:cs="David"/>
        </w:rPr>
      </w:pPr>
      <w:r w:rsidRPr="009F7BBF">
        <w:rPr>
          <w:rStyle w:val="ac"/>
          <w:rFonts w:cs="David"/>
        </w:rPr>
        <w:footnoteRef/>
      </w:r>
      <w:r w:rsidRPr="009F7BBF">
        <w:rPr>
          <w:rFonts w:cs="David"/>
          <w:rtl/>
        </w:rPr>
        <w:t xml:space="preserve"> </w:t>
      </w:r>
      <w:r w:rsidRPr="009F7BBF">
        <w:rPr>
          <w:rFonts w:cs="David"/>
        </w:rPr>
        <w:t xml:space="preserve">Cartier  International v. British Sky Broadcasting </w:t>
      </w:r>
      <w:hyperlink r:id="rId9" w:history="1">
        <w:r w:rsidRPr="009F7BBF">
          <w:rPr>
            <w:rStyle w:val="Hyperlink"/>
            <w:rFonts w:cs="David"/>
          </w:rPr>
          <w:t>[2014] EWHC 3354 (Ch)</w:t>
        </w:r>
      </w:hyperlink>
      <w:r w:rsidR="00246D07" w:rsidRPr="009F7BBF">
        <w:rPr>
          <w:rFonts w:cs="David" w:hint="cs"/>
          <w:rtl/>
        </w:rPr>
        <w:t xml:space="preserve">; פסק הדין אושר בערעור: </w:t>
      </w:r>
      <w:r w:rsidR="00246D07" w:rsidRPr="009F7BBF">
        <w:rPr>
          <w:rFonts w:cs="David"/>
        </w:rPr>
        <w:t xml:space="preserve">Cartier  International v. British Sky Broadcasting </w:t>
      </w:r>
      <w:hyperlink r:id="rId10" w:history="1">
        <w:r w:rsidR="00246D07" w:rsidRPr="009F7BBF">
          <w:rPr>
            <w:rStyle w:val="Hyperlink"/>
            <w:rFonts w:cs="David"/>
          </w:rPr>
          <w:t>[2016] EWCA Civ 658</w:t>
        </w:r>
      </w:hyperlink>
    </w:p>
  </w:footnote>
  <w:footnote w:id="31">
    <w:p w:rsidR="00FF4538" w:rsidRPr="009F7BBF" w:rsidRDefault="00FF4538" w:rsidP="000651A5">
      <w:pPr>
        <w:pStyle w:val="aa"/>
        <w:rPr>
          <w:rFonts w:cs="David"/>
        </w:rPr>
      </w:pPr>
      <w:r w:rsidRPr="009F7BBF">
        <w:rPr>
          <w:rStyle w:val="ac"/>
          <w:rFonts w:cs="David"/>
        </w:rPr>
        <w:footnoteRef/>
      </w:r>
      <w:r w:rsidRPr="009F7BBF">
        <w:rPr>
          <w:rFonts w:cs="David"/>
          <w:rtl/>
        </w:rPr>
        <w:t xml:space="preserve"> </w:t>
      </w:r>
      <w:r w:rsidR="000651A5" w:rsidRPr="009F7BBF">
        <w:rPr>
          <w:rFonts w:cs="David" w:hint="cs"/>
          <w:rtl/>
        </w:rPr>
        <w:t>שם</w:t>
      </w:r>
      <w:r w:rsidRPr="009F7BBF">
        <w:rPr>
          <w:rFonts w:cs="David" w:hint="cs"/>
          <w:rtl/>
        </w:rPr>
        <w:t>, פסקה 139.</w:t>
      </w:r>
    </w:p>
  </w:footnote>
  <w:footnote w:id="32">
    <w:p w:rsidR="008D47D0" w:rsidRPr="009F7BBF" w:rsidRDefault="008D47D0" w:rsidP="008D47D0">
      <w:pPr>
        <w:pStyle w:val="aa"/>
        <w:rPr>
          <w:rFonts w:cs="David"/>
          <w:rtl/>
        </w:rPr>
      </w:pPr>
      <w:r w:rsidRPr="009F7BBF">
        <w:rPr>
          <w:rStyle w:val="ac"/>
          <w:rFonts w:cs="David"/>
        </w:rPr>
        <w:footnoteRef/>
      </w:r>
      <w:r w:rsidRPr="009F7BBF">
        <w:rPr>
          <w:rFonts w:cs="David"/>
          <w:rtl/>
        </w:rPr>
        <w:t xml:space="preserve"> </w:t>
      </w:r>
      <w:r w:rsidR="000651A5" w:rsidRPr="009F7BBF">
        <w:rPr>
          <w:rFonts w:cs="David" w:hint="cs"/>
          <w:rtl/>
        </w:rPr>
        <w:t xml:space="preserve">שם, </w:t>
      </w:r>
      <w:r w:rsidRPr="009F7BBF">
        <w:rPr>
          <w:rFonts w:cs="David" w:hint="cs"/>
          <w:rtl/>
        </w:rPr>
        <w:t xml:space="preserve">פסקה 162. </w:t>
      </w:r>
    </w:p>
  </w:footnote>
  <w:footnote w:id="33">
    <w:p w:rsidR="00F21E2C" w:rsidRPr="009F7BBF" w:rsidRDefault="00F21E2C" w:rsidP="00F21E2C">
      <w:pPr>
        <w:pStyle w:val="aa"/>
        <w:rPr>
          <w:rFonts w:cs="David"/>
        </w:rPr>
      </w:pPr>
      <w:r w:rsidRPr="009F7BBF">
        <w:rPr>
          <w:rStyle w:val="ac"/>
          <w:rFonts w:cs="David"/>
        </w:rPr>
        <w:footnoteRef/>
      </w:r>
      <w:r w:rsidRPr="009F7BBF">
        <w:rPr>
          <w:rFonts w:cs="David"/>
          <w:rtl/>
        </w:rPr>
        <w:t xml:space="preserve"> </w:t>
      </w:r>
      <w:r w:rsidR="000651A5" w:rsidRPr="009F7BBF">
        <w:rPr>
          <w:rFonts w:cs="David" w:hint="cs"/>
          <w:rtl/>
        </w:rPr>
        <w:t xml:space="preserve">שם, </w:t>
      </w:r>
      <w:r w:rsidRPr="009F7BBF">
        <w:rPr>
          <w:rFonts w:cs="David" w:hint="cs"/>
          <w:rtl/>
        </w:rPr>
        <w:t>פסקאות 197-217.</w:t>
      </w:r>
    </w:p>
  </w:footnote>
  <w:footnote w:id="34">
    <w:p w:rsidR="008D47D0" w:rsidRPr="009F7BBF" w:rsidRDefault="008D47D0" w:rsidP="008D47D0">
      <w:pPr>
        <w:pStyle w:val="aa"/>
        <w:rPr>
          <w:rFonts w:cs="David"/>
        </w:rPr>
      </w:pPr>
      <w:r w:rsidRPr="009F7BBF">
        <w:rPr>
          <w:rStyle w:val="ac"/>
          <w:rFonts w:cs="David"/>
        </w:rPr>
        <w:footnoteRef/>
      </w:r>
      <w:r w:rsidRPr="009F7BBF">
        <w:rPr>
          <w:rFonts w:cs="David"/>
          <w:rtl/>
        </w:rPr>
        <w:t xml:space="preserve"> </w:t>
      </w:r>
      <w:r w:rsidR="000651A5" w:rsidRPr="009F7BBF">
        <w:rPr>
          <w:rFonts w:cs="David" w:hint="cs"/>
          <w:rtl/>
        </w:rPr>
        <w:t xml:space="preserve">שם, </w:t>
      </w:r>
      <w:r w:rsidR="003F03DE" w:rsidRPr="009F7BBF">
        <w:rPr>
          <w:rFonts w:cs="David" w:hint="cs"/>
          <w:rtl/>
        </w:rPr>
        <w:t>פסקה 173-175.</w:t>
      </w:r>
    </w:p>
  </w:footnote>
  <w:footnote w:id="35">
    <w:p w:rsidR="008D47D0" w:rsidRPr="009F7BBF" w:rsidRDefault="008D47D0" w:rsidP="008D47D0">
      <w:pPr>
        <w:pStyle w:val="aa"/>
        <w:rPr>
          <w:rFonts w:cs="David"/>
        </w:rPr>
      </w:pPr>
      <w:r w:rsidRPr="009F7BBF">
        <w:rPr>
          <w:rStyle w:val="ac"/>
          <w:rFonts w:cs="David"/>
        </w:rPr>
        <w:footnoteRef/>
      </w:r>
      <w:r w:rsidRPr="009F7BBF">
        <w:rPr>
          <w:rFonts w:cs="David"/>
          <w:rtl/>
        </w:rPr>
        <w:t xml:space="preserve"> </w:t>
      </w:r>
      <w:r w:rsidR="000651A5" w:rsidRPr="009F7BBF">
        <w:rPr>
          <w:rFonts w:cs="David" w:hint="cs"/>
          <w:rtl/>
        </w:rPr>
        <w:t xml:space="preserve">שם, </w:t>
      </w:r>
      <w:r w:rsidRPr="009F7BBF">
        <w:rPr>
          <w:rFonts w:cs="David" w:hint="cs"/>
          <w:rtl/>
        </w:rPr>
        <w:t>פסקאות 176</w:t>
      </w:r>
      <w:r w:rsidR="000176B5" w:rsidRPr="009F7BBF">
        <w:rPr>
          <w:rFonts w:cs="David" w:hint="cs"/>
          <w:rtl/>
        </w:rPr>
        <w:t>.</w:t>
      </w:r>
    </w:p>
  </w:footnote>
  <w:footnote w:id="36">
    <w:p w:rsidR="008C16B8" w:rsidRPr="009F7BBF" w:rsidRDefault="008C16B8" w:rsidP="008C16B8">
      <w:pPr>
        <w:pStyle w:val="aa"/>
        <w:rPr>
          <w:rFonts w:cs="David"/>
          <w:rtl/>
        </w:rPr>
      </w:pPr>
      <w:r w:rsidRPr="009F7BBF">
        <w:rPr>
          <w:rStyle w:val="ac"/>
          <w:rFonts w:cs="David"/>
        </w:rPr>
        <w:footnoteRef/>
      </w:r>
      <w:r w:rsidRPr="009F7BBF">
        <w:rPr>
          <w:rFonts w:cs="David"/>
          <w:rtl/>
        </w:rPr>
        <w:t xml:space="preserve"> </w:t>
      </w:r>
      <w:r w:rsidR="000651A5" w:rsidRPr="009F7BBF">
        <w:rPr>
          <w:rFonts w:cs="David" w:hint="cs"/>
          <w:rtl/>
        </w:rPr>
        <w:t xml:space="preserve">שם, </w:t>
      </w:r>
      <w:r w:rsidRPr="009F7BBF">
        <w:rPr>
          <w:rFonts w:cs="David" w:hint="cs"/>
          <w:rtl/>
        </w:rPr>
        <w:t xml:space="preserve">פסקה 175. </w:t>
      </w:r>
    </w:p>
  </w:footnote>
  <w:footnote w:id="37">
    <w:p w:rsidR="00F21E2C" w:rsidRPr="009F7BBF" w:rsidRDefault="00F21E2C" w:rsidP="00F21E2C">
      <w:pPr>
        <w:pStyle w:val="aa"/>
        <w:rPr>
          <w:rFonts w:cs="David"/>
        </w:rPr>
      </w:pPr>
      <w:r w:rsidRPr="009F7BBF">
        <w:rPr>
          <w:rStyle w:val="ac"/>
          <w:rFonts w:cs="David"/>
        </w:rPr>
        <w:footnoteRef/>
      </w:r>
      <w:r w:rsidRPr="009F7BBF">
        <w:rPr>
          <w:rFonts w:cs="David"/>
          <w:rtl/>
        </w:rPr>
        <w:t xml:space="preserve"> </w:t>
      </w:r>
      <w:r w:rsidR="000651A5" w:rsidRPr="009F7BBF">
        <w:rPr>
          <w:rFonts w:cs="David" w:hint="cs"/>
          <w:rtl/>
        </w:rPr>
        <w:t xml:space="preserve">שם, </w:t>
      </w:r>
      <w:r w:rsidRPr="009F7BBF">
        <w:rPr>
          <w:rFonts w:cs="David" w:hint="cs"/>
          <w:rtl/>
        </w:rPr>
        <w:t xml:space="preserve">פסקאות 178-179. </w:t>
      </w:r>
    </w:p>
  </w:footnote>
  <w:footnote w:id="38">
    <w:p w:rsidR="00F21E2C" w:rsidRPr="009F7BBF" w:rsidRDefault="00F21E2C" w:rsidP="00F21E2C">
      <w:pPr>
        <w:pStyle w:val="aa"/>
        <w:rPr>
          <w:rFonts w:cs="David"/>
        </w:rPr>
      </w:pPr>
      <w:r w:rsidRPr="009F7BBF">
        <w:rPr>
          <w:rStyle w:val="ac"/>
          <w:rFonts w:cs="David"/>
        </w:rPr>
        <w:footnoteRef/>
      </w:r>
      <w:r w:rsidRPr="009F7BBF">
        <w:rPr>
          <w:rFonts w:cs="David"/>
          <w:rtl/>
        </w:rPr>
        <w:t xml:space="preserve"> </w:t>
      </w:r>
      <w:r w:rsidR="000651A5" w:rsidRPr="009F7BBF">
        <w:rPr>
          <w:rFonts w:cs="David" w:hint="cs"/>
          <w:rtl/>
        </w:rPr>
        <w:t xml:space="preserve">שם, </w:t>
      </w:r>
      <w:r w:rsidRPr="009F7BBF">
        <w:rPr>
          <w:rFonts w:cs="David" w:hint="cs"/>
          <w:rtl/>
        </w:rPr>
        <w:t xml:space="preserve">פסקה 193. </w:t>
      </w:r>
    </w:p>
  </w:footnote>
  <w:footnote w:id="39">
    <w:p w:rsidR="00F21E2C" w:rsidRPr="009F7BBF" w:rsidRDefault="00F21E2C" w:rsidP="00F21E2C">
      <w:pPr>
        <w:pStyle w:val="aa"/>
        <w:rPr>
          <w:rFonts w:cs="David"/>
          <w:rtl/>
        </w:rPr>
      </w:pPr>
      <w:r w:rsidRPr="009F7BBF">
        <w:rPr>
          <w:rStyle w:val="ac"/>
          <w:rFonts w:cs="David"/>
        </w:rPr>
        <w:footnoteRef/>
      </w:r>
      <w:r w:rsidRPr="009F7BBF">
        <w:rPr>
          <w:rFonts w:cs="David"/>
          <w:rtl/>
        </w:rPr>
        <w:t xml:space="preserve"> </w:t>
      </w:r>
      <w:r w:rsidR="000651A5" w:rsidRPr="009F7BBF">
        <w:rPr>
          <w:rFonts w:cs="David" w:hint="cs"/>
          <w:rtl/>
        </w:rPr>
        <w:t xml:space="preserve">שם, </w:t>
      </w:r>
      <w:r w:rsidRPr="009F7BBF">
        <w:rPr>
          <w:rFonts w:cs="David" w:hint="cs"/>
          <w:rtl/>
        </w:rPr>
        <w:t xml:space="preserve">פסקה 254. </w:t>
      </w:r>
    </w:p>
  </w:footnote>
  <w:footnote w:id="40">
    <w:p w:rsidR="00F21E2C" w:rsidRPr="009F7BBF" w:rsidRDefault="00F21E2C" w:rsidP="00F21E2C">
      <w:pPr>
        <w:pStyle w:val="aa"/>
        <w:rPr>
          <w:rFonts w:cs="David"/>
          <w:rtl/>
        </w:rPr>
      </w:pPr>
      <w:r w:rsidRPr="009F7BBF">
        <w:rPr>
          <w:rStyle w:val="ac"/>
          <w:rFonts w:cs="David"/>
        </w:rPr>
        <w:footnoteRef/>
      </w:r>
      <w:r w:rsidRPr="009F7BBF">
        <w:rPr>
          <w:rFonts w:cs="David"/>
          <w:rtl/>
        </w:rPr>
        <w:t xml:space="preserve"> </w:t>
      </w:r>
      <w:r w:rsidR="000651A5" w:rsidRPr="009F7BBF">
        <w:rPr>
          <w:rFonts w:cs="David" w:hint="cs"/>
          <w:rtl/>
        </w:rPr>
        <w:t xml:space="preserve">שם, </w:t>
      </w:r>
      <w:r w:rsidRPr="009F7BBF">
        <w:rPr>
          <w:rFonts w:cs="David" w:hint="cs"/>
          <w:rtl/>
        </w:rPr>
        <w:t xml:space="preserve">פסקה 256. </w:t>
      </w:r>
    </w:p>
  </w:footnote>
  <w:footnote w:id="41">
    <w:p w:rsidR="00F21E2C" w:rsidRPr="009F7BBF" w:rsidRDefault="00F21E2C" w:rsidP="00F21E2C">
      <w:pPr>
        <w:pStyle w:val="aa"/>
        <w:rPr>
          <w:rFonts w:cs="David"/>
        </w:rPr>
      </w:pPr>
      <w:r w:rsidRPr="009F7BBF">
        <w:rPr>
          <w:rStyle w:val="ac"/>
          <w:rFonts w:cs="David"/>
        </w:rPr>
        <w:footnoteRef/>
      </w:r>
      <w:r w:rsidRPr="009F7BBF">
        <w:rPr>
          <w:rFonts w:cs="David"/>
          <w:rtl/>
        </w:rPr>
        <w:t xml:space="preserve"> </w:t>
      </w:r>
      <w:r w:rsidR="000651A5" w:rsidRPr="009F7BBF">
        <w:rPr>
          <w:rFonts w:cs="David" w:hint="cs"/>
          <w:rtl/>
        </w:rPr>
        <w:t xml:space="preserve">שם, </w:t>
      </w:r>
      <w:r w:rsidRPr="009F7BBF">
        <w:rPr>
          <w:rFonts w:cs="David" w:hint="cs"/>
          <w:rtl/>
        </w:rPr>
        <w:t>פסקה 189.</w:t>
      </w:r>
    </w:p>
  </w:footnote>
  <w:footnote w:id="42">
    <w:p w:rsidR="005813FB" w:rsidRPr="009F7BBF" w:rsidRDefault="005813FB" w:rsidP="005813FB">
      <w:pPr>
        <w:pStyle w:val="aa"/>
        <w:rPr>
          <w:rFonts w:cs="David"/>
          <w:rtl/>
        </w:rPr>
      </w:pPr>
      <w:r w:rsidRPr="009F7BBF">
        <w:rPr>
          <w:rStyle w:val="ac"/>
          <w:rFonts w:cs="David"/>
        </w:rPr>
        <w:footnoteRef/>
      </w:r>
      <w:r w:rsidRPr="009F7BBF">
        <w:rPr>
          <w:rFonts w:cs="David"/>
          <w:rtl/>
        </w:rPr>
        <w:t xml:space="preserve"> </w:t>
      </w:r>
      <w:r w:rsidR="000651A5" w:rsidRPr="009F7BBF">
        <w:rPr>
          <w:rFonts w:cs="David" w:hint="cs"/>
          <w:rtl/>
        </w:rPr>
        <w:t xml:space="preserve">שם, </w:t>
      </w:r>
      <w:r w:rsidRPr="009F7BBF">
        <w:rPr>
          <w:rFonts w:cs="David" w:hint="cs"/>
          <w:rtl/>
        </w:rPr>
        <w:t xml:space="preserve">פסקה 261. </w:t>
      </w:r>
    </w:p>
  </w:footnote>
  <w:footnote w:id="43">
    <w:p w:rsidR="005813FB" w:rsidRPr="009F7BBF" w:rsidRDefault="005813FB" w:rsidP="005813FB">
      <w:pPr>
        <w:pStyle w:val="aa"/>
        <w:rPr>
          <w:rFonts w:cs="David"/>
          <w:rtl/>
        </w:rPr>
      </w:pPr>
      <w:r w:rsidRPr="009F7BBF">
        <w:rPr>
          <w:rStyle w:val="ac"/>
          <w:rFonts w:cs="David"/>
        </w:rPr>
        <w:footnoteRef/>
      </w:r>
      <w:r w:rsidRPr="009F7BBF">
        <w:rPr>
          <w:rFonts w:cs="David"/>
          <w:rtl/>
        </w:rPr>
        <w:t xml:space="preserve"> </w:t>
      </w:r>
      <w:r w:rsidR="000651A5" w:rsidRPr="009F7BBF">
        <w:rPr>
          <w:rFonts w:cs="David" w:hint="cs"/>
          <w:rtl/>
        </w:rPr>
        <w:t xml:space="preserve">שם, </w:t>
      </w:r>
      <w:r w:rsidRPr="009F7BBF">
        <w:rPr>
          <w:rFonts w:cs="David" w:hint="cs"/>
          <w:rtl/>
        </w:rPr>
        <w:t xml:space="preserve">פסקה 262. </w:t>
      </w:r>
    </w:p>
  </w:footnote>
  <w:footnote w:id="44">
    <w:p w:rsidR="005813FB" w:rsidRPr="009F7BBF" w:rsidRDefault="005813FB" w:rsidP="005813FB">
      <w:pPr>
        <w:pStyle w:val="aa"/>
        <w:rPr>
          <w:rFonts w:cs="David"/>
        </w:rPr>
      </w:pPr>
      <w:r w:rsidRPr="009F7BBF">
        <w:rPr>
          <w:rStyle w:val="ac"/>
          <w:rFonts w:cs="David"/>
        </w:rPr>
        <w:footnoteRef/>
      </w:r>
      <w:r w:rsidRPr="009F7BBF">
        <w:rPr>
          <w:rFonts w:cs="David"/>
          <w:rtl/>
        </w:rPr>
        <w:t xml:space="preserve"> </w:t>
      </w:r>
      <w:r w:rsidR="003176D8" w:rsidRPr="009F7BBF">
        <w:rPr>
          <w:rFonts w:cs="David" w:hint="cs"/>
          <w:rtl/>
        </w:rPr>
        <w:t xml:space="preserve">שם, </w:t>
      </w:r>
      <w:r w:rsidRPr="009F7BBF">
        <w:rPr>
          <w:rFonts w:cs="David" w:hint="cs"/>
          <w:rtl/>
        </w:rPr>
        <w:t>פסקאות 263-265.</w:t>
      </w:r>
    </w:p>
  </w:footnote>
  <w:footnote w:id="45">
    <w:p w:rsidR="005813FB" w:rsidRPr="009F7BBF" w:rsidRDefault="005813FB" w:rsidP="005813FB">
      <w:pPr>
        <w:pStyle w:val="aa"/>
        <w:rPr>
          <w:rFonts w:cs="David"/>
        </w:rPr>
      </w:pPr>
      <w:r w:rsidRPr="009F7BBF">
        <w:rPr>
          <w:rStyle w:val="ac"/>
          <w:rFonts w:cs="David"/>
        </w:rPr>
        <w:footnoteRef/>
      </w:r>
      <w:r w:rsidRPr="009F7BBF">
        <w:rPr>
          <w:rFonts w:cs="David"/>
          <w:rtl/>
        </w:rPr>
        <w:t xml:space="preserve"> </w:t>
      </w:r>
      <w:r w:rsidR="003176D8" w:rsidRPr="009F7BBF">
        <w:rPr>
          <w:rFonts w:cs="David" w:hint="cs"/>
          <w:rtl/>
        </w:rPr>
        <w:t xml:space="preserve">שם, </w:t>
      </w:r>
      <w:r w:rsidRPr="009F7BBF">
        <w:rPr>
          <w:rFonts w:cs="David" w:hint="cs"/>
          <w:rtl/>
        </w:rPr>
        <w:t xml:space="preserve">פסקאות 263-265. </w:t>
      </w:r>
    </w:p>
  </w:footnote>
  <w:footnote w:id="46">
    <w:p w:rsidR="00246D07" w:rsidRPr="009F7BBF" w:rsidRDefault="00246D07">
      <w:pPr>
        <w:pStyle w:val="aa"/>
        <w:rPr>
          <w:rFonts w:cs="David"/>
          <w:rtl/>
        </w:rPr>
      </w:pPr>
      <w:r w:rsidRPr="009F7BBF">
        <w:rPr>
          <w:rStyle w:val="ac"/>
          <w:rFonts w:cs="David"/>
        </w:rPr>
        <w:footnoteRef/>
      </w:r>
      <w:r w:rsidRPr="009F7BBF">
        <w:rPr>
          <w:rFonts w:cs="David"/>
          <w:rtl/>
        </w:rPr>
        <w:t xml:space="preserve"> </w:t>
      </w:r>
      <w:r w:rsidRPr="009F7BBF">
        <w:rPr>
          <w:rFonts w:cs="David" w:hint="cs"/>
          <w:rtl/>
        </w:rPr>
        <w:t xml:space="preserve">פסק הדין (בגרמנית): </w:t>
      </w:r>
      <w:hyperlink r:id="rId11" w:history="1">
        <w:r w:rsidRPr="009F7BBF">
          <w:rPr>
            <w:rStyle w:val="Hyperlink"/>
            <w:rFonts w:cs="David"/>
          </w:rPr>
          <w:t>http://juris.bundesgerichtshof.de/cgi-bin/rechtsprechung/document.py?Gericht=bgh&amp;Art=en&amp;client=12&amp;nr=73488&amp;pos=0&amp;anz=1&amp;Blank=1.pdf</w:t>
        </w:r>
      </w:hyperlink>
    </w:p>
    <w:p w:rsidR="00246D07" w:rsidRPr="009F7BBF" w:rsidRDefault="00246D07" w:rsidP="00246D07">
      <w:pPr>
        <w:pStyle w:val="aa"/>
        <w:rPr>
          <w:rFonts w:cs="David"/>
          <w:rtl/>
        </w:rPr>
      </w:pPr>
      <w:r w:rsidRPr="009F7BBF">
        <w:rPr>
          <w:rFonts w:cs="David" w:hint="cs"/>
          <w:rtl/>
        </w:rPr>
        <w:t xml:space="preserve">לתיאור פסק הדין: </w:t>
      </w:r>
      <w:hyperlink r:id="rId12" w:history="1">
        <w:r w:rsidRPr="009F7BBF">
          <w:rPr>
            <w:rStyle w:val="Hyperlink"/>
            <w:rFonts w:cs="David"/>
          </w:rPr>
          <w:t>http://cyberlaw.stanford.edu/blog/2016/03/german-supreme-court-upholds-blocking-orders</w:t>
        </w:r>
      </w:hyperlink>
    </w:p>
  </w:footnote>
  <w:footnote w:id="47">
    <w:p w:rsidR="00CE4418" w:rsidRPr="009F7BBF" w:rsidRDefault="00CE4418" w:rsidP="00F02CA0">
      <w:pPr>
        <w:pStyle w:val="aa"/>
        <w:rPr>
          <w:rFonts w:cs="David"/>
          <w:rtl/>
        </w:rPr>
      </w:pPr>
      <w:r w:rsidRPr="009F7BBF">
        <w:rPr>
          <w:rStyle w:val="ac"/>
          <w:rFonts w:cs="David"/>
        </w:rPr>
        <w:footnoteRef/>
      </w:r>
      <w:r w:rsidRPr="009F7BBF">
        <w:rPr>
          <w:rFonts w:cs="David"/>
          <w:rtl/>
        </w:rPr>
        <w:t xml:space="preserve"> </w:t>
      </w:r>
      <w:r w:rsidRPr="009F7BBF">
        <w:rPr>
          <w:rFonts w:cs="David" w:hint="cs"/>
          <w:rtl/>
        </w:rPr>
        <w:t xml:space="preserve">סעיף </w:t>
      </w:r>
      <w:r w:rsidRPr="009F7BBF">
        <w:rPr>
          <w:rFonts w:cs="David"/>
        </w:rPr>
        <w:t>A</w:t>
      </w:r>
      <w:r w:rsidRPr="009F7BBF">
        <w:rPr>
          <w:rFonts w:cs="David" w:hint="cs"/>
          <w:rtl/>
        </w:rPr>
        <w:t xml:space="preserve">115 ל- </w:t>
      </w:r>
      <w:r w:rsidRPr="009F7BBF">
        <w:rPr>
          <w:rFonts w:cs="David"/>
        </w:rPr>
        <w:t>Copyright Act 1968</w:t>
      </w:r>
      <w:r w:rsidRPr="009F7BBF">
        <w:rPr>
          <w:rFonts w:cs="David" w:hint="cs"/>
          <w:rtl/>
        </w:rPr>
        <w:t xml:space="preserve">. החוק המתקן זמין בקישור: </w:t>
      </w:r>
      <w:hyperlink r:id="rId13" w:history="1">
        <w:r w:rsidRPr="009F7BBF">
          <w:rPr>
            <w:rStyle w:val="Hyperlink"/>
            <w:rFonts w:cs="David"/>
          </w:rPr>
          <w:t>https://www.comlaw.gov.au/Details/C2015A00080</w:t>
        </w:r>
      </w:hyperlink>
      <w:r w:rsidRPr="009F7BBF">
        <w:rPr>
          <w:rFonts w:cs="David" w:hint="cs"/>
          <w:rtl/>
        </w:rPr>
        <w:t>.</w:t>
      </w:r>
    </w:p>
  </w:footnote>
  <w:footnote w:id="48">
    <w:p w:rsidR="0079520D" w:rsidRPr="009F7BBF" w:rsidRDefault="0079520D">
      <w:pPr>
        <w:pStyle w:val="aa"/>
        <w:rPr>
          <w:rFonts w:cs="David"/>
        </w:rPr>
      </w:pPr>
      <w:r w:rsidRPr="009F7BBF">
        <w:rPr>
          <w:rStyle w:val="ac"/>
          <w:rFonts w:cs="David"/>
        </w:rPr>
        <w:footnoteRef/>
      </w:r>
      <w:r w:rsidRPr="009F7BBF">
        <w:rPr>
          <w:rFonts w:cs="David"/>
          <w:rtl/>
        </w:rPr>
        <w:t xml:space="preserve"> </w:t>
      </w:r>
      <w:bookmarkStart w:id="1" w:name="MNC"/>
      <w:r w:rsidRPr="009F7BBF">
        <w:rPr>
          <w:rFonts w:cs="David"/>
        </w:rPr>
        <w:t xml:space="preserve">Roadshow Films Pty Ltd v Telstra Corporation Ltd </w:t>
      </w:r>
      <w:hyperlink r:id="rId14" w:history="1">
        <w:r w:rsidRPr="009F7BBF">
          <w:rPr>
            <w:rStyle w:val="Hyperlink"/>
            <w:rFonts w:cs="David"/>
          </w:rPr>
          <w:t>[2016] FCA 1503</w:t>
        </w:r>
      </w:hyperlink>
      <w:bookmarkEnd w:id="1"/>
      <w:r w:rsidRPr="009F7BBF">
        <w:rPr>
          <w:rFonts w:cs="David" w:hint="cs"/>
          <w:rtl/>
        </w:rPr>
        <w:t>.</w:t>
      </w:r>
    </w:p>
  </w:footnote>
  <w:footnote w:id="49">
    <w:p w:rsidR="0082231E" w:rsidRPr="009F7BBF" w:rsidRDefault="0082231E">
      <w:pPr>
        <w:pStyle w:val="aa"/>
        <w:rPr>
          <w:rFonts w:cs="David"/>
        </w:rPr>
      </w:pPr>
      <w:r w:rsidRPr="009F7BBF">
        <w:rPr>
          <w:rStyle w:val="ac"/>
          <w:rFonts w:cs="David"/>
        </w:rPr>
        <w:footnoteRef/>
      </w:r>
      <w:r w:rsidRPr="009F7BBF">
        <w:rPr>
          <w:rFonts w:cs="David"/>
          <w:rtl/>
        </w:rPr>
        <w:t xml:space="preserve"> </w:t>
      </w:r>
      <w:r w:rsidR="003176D8" w:rsidRPr="009F7BBF">
        <w:rPr>
          <w:rFonts w:cs="David" w:hint="cs"/>
          <w:rtl/>
        </w:rPr>
        <w:t xml:space="preserve">שם, </w:t>
      </w:r>
      <w:r w:rsidRPr="009F7BBF">
        <w:rPr>
          <w:rFonts w:cs="David" w:hint="cs"/>
          <w:rtl/>
        </w:rPr>
        <w:t>פסקאות 136-139.</w:t>
      </w:r>
    </w:p>
  </w:footnote>
  <w:footnote w:id="50">
    <w:p w:rsidR="00844B91" w:rsidRPr="009F7BBF" w:rsidRDefault="00844B91">
      <w:pPr>
        <w:pStyle w:val="aa"/>
        <w:rPr>
          <w:rFonts w:cs="David"/>
        </w:rPr>
      </w:pPr>
      <w:r w:rsidRPr="009F7BBF">
        <w:rPr>
          <w:rStyle w:val="ac"/>
          <w:rFonts w:cs="David"/>
        </w:rPr>
        <w:footnoteRef/>
      </w:r>
      <w:r w:rsidRPr="009F7BBF">
        <w:rPr>
          <w:rFonts w:cs="David"/>
          <w:rtl/>
        </w:rPr>
        <w:t xml:space="preserve"> </w:t>
      </w:r>
      <w:r w:rsidR="003176D8" w:rsidRPr="009F7BBF">
        <w:rPr>
          <w:rFonts w:cs="David" w:hint="cs"/>
          <w:rtl/>
        </w:rPr>
        <w:t xml:space="preserve">שם, </w:t>
      </w:r>
      <w:r w:rsidRPr="009F7BBF">
        <w:rPr>
          <w:rFonts w:cs="David" w:hint="cs"/>
          <w:rtl/>
        </w:rPr>
        <w:t>פסקאות 140-149.</w:t>
      </w:r>
    </w:p>
  </w:footnote>
  <w:footnote w:id="51">
    <w:p w:rsidR="00844B91" w:rsidRPr="009F7BBF" w:rsidRDefault="00844B91">
      <w:pPr>
        <w:pStyle w:val="aa"/>
        <w:rPr>
          <w:rFonts w:cs="David"/>
        </w:rPr>
      </w:pPr>
      <w:r w:rsidRPr="009F7BBF">
        <w:rPr>
          <w:rStyle w:val="ac"/>
          <w:rFonts w:cs="David"/>
        </w:rPr>
        <w:footnoteRef/>
      </w:r>
      <w:r w:rsidRPr="009F7BBF">
        <w:rPr>
          <w:rFonts w:cs="David"/>
          <w:rtl/>
        </w:rPr>
        <w:t xml:space="preserve"> </w:t>
      </w:r>
      <w:r w:rsidR="003176D8" w:rsidRPr="009F7BBF">
        <w:rPr>
          <w:rFonts w:cs="David" w:hint="cs"/>
          <w:rtl/>
        </w:rPr>
        <w:t xml:space="preserve">שם, </w:t>
      </w:r>
      <w:r w:rsidRPr="009F7BBF">
        <w:rPr>
          <w:rFonts w:cs="David" w:hint="cs"/>
          <w:rtl/>
        </w:rPr>
        <w:t>פסקה 128.</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06482B"/>
    <w:multiLevelType w:val="hybridMultilevel"/>
    <w:tmpl w:val="0DB06B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133351"/>
    <w:multiLevelType w:val="hybridMultilevel"/>
    <w:tmpl w:val="64628028"/>
    <w:lvl w:ilvl="0" w:tplc="FE5EE30E">
      <w:start w:val="1"/>
      <w:numFmt w:val="decimal"/>
      <w:lvlText w:val="%1."/>
      <w:lvlJc w:val="left"/>
      <w:pPr>
        <w:ind w:left="720" w:hanging="360"/>
      </w:pPr>
      <w:rPr>
        <w:rFonts w:cs="David"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6203CB9"/>
    <w:multiLevelType w:val="hybridMultilevel"/>
    <w:tmpl w:val="8B1C232C"/>
    <w:lvl w:ilvl="0" w:tplc="C54C9AE2">
      <w:start w:val="1"/>
      <w:numFmt w:val="bullet"/>
      <w:lvlText w:val="•"/>
      <w:lvlJc w:val="left"/>
      <w:pPr>
        <w:tabs>
          <w:tab w:val="num" w:pos="720"/>
        </w:tabs>
        <w:ind w:left="720" w:hanging="360"/>
      </w:pPr>
      <w:rPr>
        <w:rFonts w:ascii="Times New Roman" w:hAnsi="Times New Roman" w:hint="default"/>
      </w:rPr>
    </w:lvl>
    <w:lvl w:ilvl="1" w:tplc="66C87DEC" w:tentative="1">
      <w:start w:val="1"/>
      <w:numFmt w:val="bullet"/>
      <w:lvlText w:val="•"/>
      <w:lvlJc w:val="left"/>
      <w:pPr>
        <w:tabs>
          <w:tab w:val="num" w:pos="1440"/>
        </w:tabs>
        <w:ind w:left="1440" w:hanging="360"/>
      </w:pPr>
      <w:rPr>
        <w:rFonts w:ascii="Times New Roman" w:hAnsi="Times New Roman" w:hint="default"/>
      </w:rPr>
    </w:lvl>
    <w:lvl w:ilvl="2" w:tplc="5E1839B6" w:tentative="1">
      <w:start w:val="1"/>
      <w:numFmt w:val="bullet"/>
      <w:lvlText w:val="•"/>
      <w:lvlJc w:val="left"/>
      <w:pPr>
        <w:tabs>
          <w:tab w:val="num" w:pos="2160"/>
        </w:tabs>
        <w:ind w:left="2160" w:hanging="360"/>
      </w:pPr>
      <w:rPr>
        <w:rFonts w:ascii="Times New Roman" w:hAnsi="Times New Roman" w:hint="default"/>
      </w:rPr>
    </w:lvl>
    <w:lvl w:ilvl="3" w:tplc="6C78CA00" w:tentative="1">
      <w:start w:val="1"/>
      <w:numFmt w:val="bullet"/>
      <w:lvlText w:val="•"/>
      <w:lvlJc w:val="left"/>
      <w:pPr>
        <w:tabs>
          <w:tab w:val="num" w:pos="2880"/>
        </w:tabs>
        <w:ind w:left="2880" w:hanging="360"/>
      </w:pPr>
      <w:rPr>
        <w:rFonts w:ascii="Times New Roman" w:hAnsi="Times New Roman" w:hint="default"/>
      </w:rPr>
    </w:lvl>
    <w:lvl w:ilvl="4" w:tplc="E1F65BD4" w:tentative="1">
      <w:start w:val="1"/>
      <w:numFmt w:val="bullet"/>
      <w:lvlText w:val="•"/>
      <w:lvlJc w:val="left"/>
      <w:pPr>
        <w:tabs>
          <w:tab w:val="num" w:pos="3600"/>
        </w:tabs>
        <w:ind w:left="3600" w:hanging="360"/>
      </w:pPr>
      <w:rPr>
        <w:rFonts w:ascii="Times New Roman" w:hAnsi="Times New Roman" w:hint="default"/>
      </w:rPr>
    </w:lvl>
    <w:lvl w:ilvl="5" w:tplc="5A24875E" w:tentative="1">
      <w:start w:val="1"/>
      <w:numFmt w:val="bullet"/>
      <w:lvlText w:val="•"/>
      <w:lvlJc w:val="left"/>
      <w:pPr>
        <w:tabs>
          <w:tab w:val="num" w:pos="4320"/>
        </w:tabs>
        <w:ind w:left="4320" w:hanging="360"/>
      </w:pPr>
      <w:rPr>
        <w:rFonts w:ascii="Times New Roman" w:hAnsi="Times New Roman" w:hint="default"/>
      </w:rPr>
    </w:lvl>
    <w:lvl w:ilvl="6" w:tplc="8BB628D4" w:tentative="1">
      <w:start w:val="1"/>
      <w:numFmt w:val="bullet"/>
      <w:lvlText w:val="•"/>
      <w:lvlJc w:val="left"/>
      <w:pPr>
        <w:tabs>
          <w:tab w:val="num" w:pos="5040"/>
        </w:tabs>
        <w:ind w:left="5040" w:hanging="360"/>
      </w:pPr>
      <w:rPr>
        <w:rFonts w:ascii="Times New Roman" w:hAnsi="Times New Roman" w:hint="default"/>
      </w:rPr>
    </w:lvl>
    <w:lvl w:ilvl="7" w:tplc="D1FEAE54" w:tentative="1">
      <w:start w:val="1"/>
      <w:numFmt w:val="bullet"/>
      <w:lvlText w:val="•"/>
      <w:lvlJc w:val="left"/>
      <w:pPr>
        <w:tabs>
          <w:tab w:val="num" w:pos="5760"/>
        </w:tabs>
        <w:ind w:left="5760" w:hanging="360"/>
      </w:pPr>
      <w:rPr>
        <w:rFonts w:ascii="Times New Roman" w:hAnsi="Times New Roman" w:hint="default"/>
      </w:rPr>
    </w:lvl>
    <w:lvl w:ilvl="8" w:tplc="71B6EAFA" w:tentative="1">
      <w:start w:val="1"/>
      <w:numFmt w:val="bullet"/>
      <w:lvlText w:val="•"/>
      <w:lvlJc w:val="left"/>
      <w:pPr>
        <w:tabs>
          <w:tab w:val="num" w:pos="6480"/>
        </w:tabs>
        <w:ind w:left="6480" w:hanging="360"/>
      </w:pPr>
      <w:rPr>
        <w:rFonts w:ascii="Times New Roman" w:hAnsi="Times New Roman" w:hint="default"/>
      </w:rPr>
    </w:lvl>
  </w:abstractNum>
  <w:abstractNum w:abstractNumId="3" w15:restartNumberingAfterBreak="0">
    <w:nsid w:val="080F52AF"/>
    <w:multiLevelType w:val="hybridMultilevel"/>
    <w:tmpl w:val="D444DBC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0B060A04"/>
    <w:multiLevelType w:val="hybridMultilevel"/>
    <w:tmpl w:val="7722F4F0"/>
    <w:lvl w:ilvl="0" w:tplc="CCC66EE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D3E45E2"/>
    <w:multiLevelType w:val="hybridMultilevel"/>
    <w:tmpl w:val="4828BCF2"/>
    <w:lvl w:ilvl="0" w:tplc="1D7EE024">
      <w:start w:val="1"/>
      <w:numFmt w:val="bullet"/>
      <w:lvlText w:val="•"/>
      <w:lvlJc w:val="left"/>
      <w:pPr>
        <w:tabs>
          <w:tab w:val="num" w:pos="720"/>
        </w:tabs>
        <w:ind w:left="720" w:hanging="360"/>
      </w:pPr>
      <w:rPr>
        <w:rFonts w:ascii="Times New Roman" w:hAnsi="Times New Roman" w:hint="default"/>
      </w:rPr>
    </w:lvl>
    <w:lvl w:ilvl="1" w:tplc="4F304990" w:tentative="1">
      <w:start w:val="1"/>
      <w:numFmt w:val="bullet"/>
      <w:lvlText w:val="•"/>
      <w:lvlJc w:val="left"/>
      <w:pPr>
        <w:tabs>
          <w:tab w:val="num" w:pos="1440"/>
        </w:tabs>
        <w:ind w:left="1440" w:hanging="360"/>
      </w:pPr>
      <w:rPr>
        <w:rFonts w:ascii="Times New Roman" w:hAnsi="Times New Roman" w:hint="default"/>
      </w:rPr>
    </w:lvl>
    <w:lvl w:ilvl="2" w:tplc="79CAA1DE" w:tentative="1">
      <w:start w:val="1"/>
      <w:numFmt w:val="bullet"/>
      <w:lvlText w:val="•"/>
      <w:lvlJc w:val="left"/>
      <w:pPr>
        <w:tabs>
          <w:tab w:val="num" w:pos="2160"/>
        </w:tabs>
        <w:ind w:left="2160" w:hanging="360"/>
      </w:pPr>
      <w:rPr>
        <w:rFonts w:ascii="Times New Roman" w:hAnsi="Times New Roman" w:hint="default"/>
      </w:rPr>
    </w:lvl>
    <w:lvl w:ilvl="3" w:tplc="4A78727C" w:tentative="1">
      <w:start w:val="1"/>
      <w:numFmt w:val="bullet"/>
      <w:lvlText w:val="•"/>
      <w:lvlJc w:val="left"/>
      <w:pPr>
        <w:tabs>
          <w:tab w:val="num" w:pos="2880"/>
        </w:tabs>
        <w:ind w:left="2880" w:hanging="360"/>
      </w:pPr>
      <w:rPr>
        <w:rFonts w:ascii="Times New Roman" w:hAnsi="Times New Roman" w:hint="default"/>
      </w:rPr>
    </w:lvl>
    <w:lvl w:ilvl="4" w:tplc="6FFEE8FE" w:tentative="1">
      <w:start w:val="1"/>
      <w:numFmt w:val="bullet"/>
      <w:lvlText w:val="•"/>
      <w:lvlJc w:val="left"/>
      <w:pPr>
        <w:tabs>
          <w:tab w:val="num" w:pos="3600"/>
        </w:tabs>
        <w:ind w:left="3600" w:hanging="360"/>
      </w:pPr>
      <w:rPr>
        <w:rFonts w:ascii="Times New Roman" w:hAnsi="Times New Roman" w:hint="default"/>
      </w:rPr>
    </w:lvl>
    <w:lvl w:ilvl="5" w:tplc="01741460" w:tentative="1">
      <w:start w:val="1"/>
      <w:numFmt w:val="bullet"/>
      <w:lvlText w:val="•"/>
      <w:lvlJc w:val="left"/>
      <w:pPr>
        <w:tabs>
          <w:tab w:val="num" w:pos="4320"/>
        </w:tabs>
        <w:ind w:left="4320" w:hanging="360"/>
      </w:pPr>
      <w:rPr>
        <w:rFonts w:ascii="Times New Roman" w:hAnsi="Times New Roman" w:hint="default"/>
      </w:rPr>
    </w:lvl>
    <w:lvl w:ilvl="6" w:tplc="0D0A7D54" w:tentative="1">
      <w:start w:val="1"/>
      <w:numFmt w:val="bullet"/>
      <w:lvlText w:val="•"/>
      <w:lvlJc w:val="left"/>
      <w:pPr>
        <w:tabs>
          <w:tab w:val="num" w:pos="5040"/>
        </w:tabs>
        <w:ind w:left="5040" w:hanging="360"/>
      </w:pPr>
      <w:rPr>
        <w:rFonts w:ascii="Times New Roman" w:hAnsi="Times New Roman" w:hint="default"/>
      </w:rPr>
    </w:lvl>
    <w:lvl w:ilvl="7" w:tplc="9F946A90" w:tentative="1">
      <w:start w:val="1"/>
      <w:numFmt w:val="bullet"/>
      <w:lvlText w:val="•"/>
      <w:lvlJc w:val="left"/>
      <w:pPr>
        <w:tabs>
          <w:tab w:val="num" w:pos="5760"/>
        </w:tabs>
        <w:ind w:left="5760" w:hanging="360"/>
      </w:pPr>
      <w:rPr>
        <w:rFonts w:ascii="Times New Roman" w:hAnsi="Times New Roman" w:hint="default"/>
      </w:rPr>
    </w:lvl>
    <w:lvl w:ilvl="8" w:tplc="7AAE00C8" w:tentative="1">
      <w:start w:val="1"/>
      <w:numFmt w:val="bullet"/>
      <w:lvlText w:val="•"/>
      <w:lvlJc w:val="left"/>
      <w:pPr>
        <w:tabs>
          <w:tab w:val="num" w:pos="6480"/>
        </w:tabs>
        <w:ind w:left="6480" w:hanging="360"/>
      </w:pPr>
      <w:rPr>
        <w:rFonts w:ascii="Times New Roman" w:hAnsi="Times New Roman" w:hint="default"/>
      </w:rPr>
    </w:lvl>
  </w:abstractNum>
  <w:abstractNum w:abstractNumId="6" w15:restartNumberingAfterBreak="0">
    <w:nsid w:val="0DA345F8"/>
    <w:multiLevelType w:val="hybridMultilevel"/>
    <w:tmpl w:val="00006688"/>
    <w:lvl w:ilvl="0" w:tplc="FA8C500C">
      <w:start w:val="1"/>
      <w:numFmt w:val="bullet"/>
      <w:lvlText w:val="•"/>
      <w:lvlJc w:val="left"/>
      <w:pPr>
        <w:tabs>
          <w:tab w:val="num" w:pos="720"/>
        </w:tabs>
        <w:ind w:left="720" w:hanging="360"/>
      </w:pPr>
      <w:rPr>
        <w:rFonts w:ascii="Times New Roman" w:hAnsi="Times New Roman" w:hint="default"/>
      </w:rPr>
    </w:lvl>
    <w:lvl w:ilvl="1" w:tplc="538E04D0" w:tentative="1">
      <w:start w:val="1"/>
      <w:numFmt w:val="bullet"/>
      <w:lvlText w:val="•"/>
      <w:lvlJc w:val="left"/>
      <w:pPr>
        <w:tabs>
          <w:tab w:val="num" w:pos="1440"/>
        </w:tabs>
        <w:ind w:left="1440" w:hanging="360"/>
      </w:pPr>
      <w:rPr>
        <w:rFonts w:ascii="Times New Roman" w:hAnsi="Times New Roman" w:hint="default"/>
      </w:rPr>
    </w:lvl>
    <w:lvl w:ilvl="2" w:tplc="F8C09E1A" w:tentative="1">
      <w:start w:val="1"/>
      <w:numFmt w:val="bullet"/>
      <w:lvlText w:val="•"/>
      <w:lvlJc w:val="left"/>
      <w:pPr>
        <w:tabs>
          <w:tab w:val="num" w:pos="2160"/>
        </w:tabs>
        <w:ind w:left="2160" w:hanging="360"/>
      </w:pPr>
      <w:rPr>
        <w:rFonts w:ascii="Times New Roman" w:hAnsi="Times New Roman" w:hint="default"/>
      </w:rPr>
    </w:lvl>
    <w:lvl w:ilvl="3" w:tplc="BF84D1D6" w:tentative="1">
      <w:start w:val="1"/>
      <w:numFmt w:val="bullet"/>
      <w:lvlText w:val="•"/>
      <w:lvlJc w:val="left"/>
      <w:pPr>
        <w:tabs>
          <w:tab w:val="num" w:pos="2880"/>
        </w:tabs>
        <w:ind w:left="2880" w:hanging="360"/>
      </w:pPr>
      <w:rPr>
        <w:rFonts w:ascii="Times New Roman" w:hAnsi="Times New Roman" w:hint="default"/>
      </w:rPr>
    </w:lvl>
    <w:lvl w:ilvl="4" w:tplc="B9A0B46E" w:tentative="1">
      <w:start w:val="1"/>
      <w:numFmt w:val="bullet"/>
      <w:lvlText w:val="•"/>
      <w:lvlJc w:val="left"/>
      <w:pPr>
        <w:tabs>
          <w:tab w:val="num" w:pos="3600"/>
        </w:tabs>
        <w:ind w:left="3600" w:hanging="360"/>
      </w:pPr>
      <w:rPr>
        <w:rFonts w:ascii="Times New Roman" w:hAnsi="Times New Roman" w:hint="default"/>
      </w:rPr>
    </w:lvl>
    <w:lvl w:ilvl="5" w:tplc="54908372" w:tentative="1">
      <w:start w:val="1"/>
      <w:numFmt w:val="bullet"/>
      <w:lvlText w:val="•"/>
      <w:lvlJc w:val="left"/>
      <w:pPr>
        <w:tabs>
          <w:tab w:val="num" w:pos="4320"/>
        </w:tabs>
        <w:ind w:left="4320" w:hanging="360"/>
      </w:pPr>
      <w:rPr>
        <w:rFonts w:ascii="Times New Roman" w:hAnsi="Times New Roman" w:hint="default"/>
      </w:rPr>
    </w:lvl>
    <w:lvl w:ilvl="6" w:tplc="3F227284" w:tentative="1">
      <w:start w:val="1"/>
      <w:numFmt w:val="bullet"/>
      <w:lvlText w:val="•"/>
      <w:lvlJc w:val="left"/>
      <w:pPr>
        <w:tabs>
          <w:tab w:val="num" w:pos="5040"/>
        </w:tabs>
        <w:ind w:left="5040" w:hanging="360"/>
      </w:pPr>
      <w:rPr>
        <w:rFonts w:ascii="Times New Roman" w:hAnsi="Times New Roman" w:hint="default"/>
      </w:rPr>
    </w:lvl>
    <w:lvl w:ilvl="7" w:tplc="B2D4EF46" w:tentative="1">
      <w:start w:val="1"/>
      <w:numFmt w:val="bullet"/>
      <w:lvlText w:val="•"/>
      <w:lvlJc w:val="left"/>
      <w:pPr>
        <w:tabs>
          <w:tab w:val="num" w:pos="5760"/>
        </w:tabs>
        <w:ind w:left="5760" w:hanging="360"/>
      </w:pPr>
      <w:rPr>
        <w:rFonts w:ascii="Times New Roman" w:hAnsi="Times New Roman" w:hint="default"/>
      </w:rPr>
    </w:lvl>
    <w:lvl w:ilvl="8" w:tplc="08725390" w:tentative="1">
      <w:start w:val="1"/>
      <w:numFmt w:val="bullet"/>
      <w:lvlText w:val="•"/>
      <w:lvlJc w:val="left"/>
      <w:pPr>
        <w:tabs>
          <w:tab w:val="num" w:pos="6480"/>
        </w:tabs>
        <w:ind w:left="6480" w:hanging="360"/>
      </w:pPr>
      <w:rPr>
        <w:rFonts w:ascii="Times New Roman" w:hAnsi="Times New Roman" w:hint="default"/>
      </w:rPr>
    </w:lvl>
  </w:abstractNum>
  <w:abstractNum w:abstractNumId="7" w15:restartNumberingAfterBreak="0">
    <w:nsid w:val="2B9E7722"/>
    <w:multiLevelType w:val="hybridMultilevel"/>
    <w:tmpl w:val="C6DEDA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CE6484C"/>
    <w:multiLevelType w:val="hybridMultilevel"/>
    <w:tmpl w:val="6BAAC4B2"/>
    <w:lvl w:ilvl="0" w:tplc="416A15D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31759DC"/>
    <w:multiLevelType w:val="hybridMultilevel"/>
    <w:tmpl w:val="6B54DD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BA63C88"/>
    <w:multiLevelType w:val="hybridMultilevel"/>
    <w:tmpl w:val="4B96142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E8443A1"/>
    <w:multiLevelType w:val="hybridMultilevel"/>
    <w:tmpl w:val="70AC19E0"/>
    <w:lvl w:ilvl="0" w:tplc="F36284DA">
      <w:start w:val="1"/>
      <w:numFmt w:val="bullet"/>
      <w:lvlText w:val="•"/>
      <w:lvlJc w:val="left"/>
      <w:pPr>
        <w:tabs>
          <w:tab w:val="num" w:pos="720"/>
        </w:tabs>
        <w:ind w:left="720" w:hanging="360"/>
      </w:pPr>
      <w:rPr>
        <w:rFonts w:ascii="Times New Roman" w:hAnsi="Times New Roman" w:hint="default"/>
      </w:rPr>
    </w:lvl>
    <w:lvl w:ilvl="1" w:tplc="0622BE60" w:tentative="1">
      <w:start w:val="1"/>
      <w:numFmt w:val="bullet"/>
      <w:lvlText w:val="•"/>
      <w:lvlJc w:val="left"/>
      <w:pPr>
        <w:tabs>
          <w:tab w:val="num" w:pos="1440"/>
        </w:tabs>
        <w:ind w:left="1440" w:hanging="360"/>
      </w:pPr>
      <w:rPr>
        <w:rFonts w:ascii="Times New Roman" w:hAnsi="Times New Roman" w:hint="default"/>
      </w:rPr>
    </w:lvl>
    <w:lvl w:ilvl="2" w:tplc="F9BC4A4A" w:tentative="1">
      <w:start w:val="1"/>
      <w:numFmt w:val="bullet"/>
      <w:lvlText w:val="•"/>
      <w:lvlJc w:val="left"/>
      <w:pPr>
        <w:tabs>
          <w:tab w:val="num" w:pos="2160"/>
        </w:tabs>
        <w:ind w:left="2160" w:hanging="360"/>
      </w:pPr>
      <w:rPr>
        <w:rFonts w:ascii="Times New Roman" w:hAnsi="Times New Roman" w:hint="default"/>
      </w:rPr>
    </w:lvl>
    <w:lvl w:ilvl="3" w:tplc="8D627EC8" w:tentative="1">
      <w:start w:val="1"/>
      <w:numFmt w:val="bullet"/>
      <w:lvlText w:val="•"/>
      <w:lvlJc w:val="left"/>
      <w:pPr>
        <w:tabs>
          <w:tab w:val="num" w:pos="2880"/>
        </w:tabs>
        <w:ind w:left="2880" w:hanging="360"/>
      </w:pPr>
      <w:rPr>
        <w:rFonts w:ascii="Times New Roman" w:hAnsi="Times New Roman" w:hint="default"/>
      </w:rPr>
    </w:lvl>
    <w:lvl w:ilvl="4" w:tplc="417A65F4" w:tentative="1">
      <w:start w:val="1"/>
      <w:numFmt w:val="bullet"/>
      <w:lvlText w:val="•"/>
      <w:lvlJc w:val="left"/>
      <w:pPr>
        <w:tabs>
          <w:tab w:val="num" w:pos="3600"/>
        </w:tabs>
        <w:ind w:left="3600" w:hanging="360"/>
      </w:pPr>
      <w:rPr>
        <w:rFonts w:ascii="Times New Roman" w:hAnsi="Times New Roman" w:hint="default"/>
      </w:rPr>
    </w:lvl>
    <w:lvl w:ilvl="5" w:tplc="D0E47630" w:tentative="1">
      <w:start w:val="1"/>
      <w:numFmt w:val="bullet"/>
      <w:lvlText w:val="•"/>
      <w:lvlJc w:val="left"/>
      <w:pPr>
        <w:tabs>
          <w:tab w:val="num" w:pos="4320"/>
        </w:tabs>
        <w:ind w:left="4320" w:hanging="360"/>
      </w:pPr>
      <w:rPr>
        <w:rFonts w:ascii="Times New Roman" w:hAnsi="Times New Roman" w:hint="default"/>
      </w:rPr>
    </w:lvl>
    <w:lvl w:ilvl="6" w:tplc="6E64899A" w:tentative="1">
      <w:start w:val="1"/>
      <w:numFmt w:val="bullet"/>
      <w:lvlText w:val="•"/>
      <w:lvlJc w:val="left"/>
      <w:pPr>
        <w:tabs>
          <w:tab w:val="num" w:pos="5040"/>
        </w:tabs>
        <w:ind w:left="5040" w:hanging="360"/>
      </w:pPr>
      <w:rPr>
        <w:rFonts w:ascii="Times New Roman" w:hAnsi="Times New Roman" w:hint="default"/>
      </w:rPr>
    </w:lvl>
    <w:lvl w:ilvl="7" w:tplc="6AE68EEC" w:tentative="1">
      <w:start w:val="1"/>
      <w:numFmt w:val="bullet"/>
      <w:lvlText w:val="•"/>
      <w:lvlJc w:val="left"/>
      <w:pPr>
        <w:tabs>
          <w:tab w:val="num" w:pos="5760"/>
        </w:tabs>
        <w:ind w:left="5760" w:hanging="360"/>
      </w:pPr>
      <w:rPr>
        <w:rFonts w:ascii="Times New Roman" w:hAnsi="Times New Roman" w:hint="default"/>
      </w:rPr>
    </w:lvl>
    <w:lvl w:ilvl="8" w:tplc="5EFC6CC6" w:tentative="1">
      <w:start w:val="1"/>
      <w:numFmt w:val="bullet"/>
      <w:lvlText w:val="•"/>
      <w:lvlJc w:val="left"/>
      <w:pPr>
        <w:tabs>
          <w:tab w:val="num" w:pos="6480"/>
        </w:tabs>
        <w:ind w:left="6480" w:hanging="360"/>
      </w:pPr>
      <w:rPr>
        <w:rFonts w:ascii="Times New Roman" w:hAnsi="Times New Roman" w:hint="default"/>
      </w:rPr>
    </w:lvl>
  </w:abstractNum>
  <w:abstractNum w:abstractNumId="12" w15:restartNumberingAfterBreak="0">
    <w:nsid w:val="65C20ED1"/>
    <w:multiLevelType w:val="hybridMultilevel"/>
    <w:tmpl w:val="5928AEFE"/>
    <w:lvl w:ilvl="0" w:tplc="CCB6FF78">
      <w:start w:val="1"/>
      <w:numFmt w:val="bullet"/>
      <w:lvlText w:val="•"/>
      <w:lvlJc w:val="left"/>
      <w:pPr>
        <w:tabs>
          <w:tab w:val="num" w:pos="720"/>
        </w:tabs>
        <w:ind w:left="720" w:hanging="360"/>
      </w:pPr>
      <w:rPr>
        <w:rFonts w:ascii="Times New Roman" w:hAnsi="Times New Roman" w:hint="default"/>
      </w:rPr>
    </w:lvl>
    <w:lvl w:ilvl="1" w:tplc="5B5A0170" w:tentative="1">
      <w:start w:val="1"/>
      <w:numFmt w:val="bullet"/>
      <w:lvlText w:val="•"/>
      <w:lvlJc w:val="left"/>
      <w:pPr>
        <w:tabs>
          <w:tab w:val="num" w:pos="1440"/>
        </w:tabs>
        <w:ind w:left="1440" w:hanging="360"/>
      </w:pPr>
      <w:rPr>
        <w:rFonts w:ascii="Times New Roman" w:hAnsi="Times New Roman" w:hint="default"/>
      </w:rPr>
    </w:lvl>
    <w:lvl w:ilvl="2" w:tplc="860C2008" w:tentative="1">
      <w:start w:val="1"/>
      <w:numFmt w:val="bullet"/>
      <w:lvlText w:val="•"/>
      <w:lvlJc w:val="left"/>
      <w:pPr>
        <w:tabs>
          <w:tab w:val="num" w:pos="2160"/>
        </w:tabs>
        <w:ind w:left="2160" w:hanging="360"/>
      </w:pPr>
      <w:rPr>
        <w:rFonts w:ascii="Times New Roman" w:hAnsi="Times New Roman" w:hint="default"/>
      </w:rPr>
    </w:lvl>
    <w:lvl w:ilvl="3" w:tplc="34B08C22" w:tentative="1">
      <w:start w:val="1"/>
      <w:numFmt w:val="bullet"/>
      <w:lvlText w:val="•"/>
      <w:lvlJc w:val="left"/>
      <w:pPr>
        <w:tabs>
          <w:tab w:val="num" w:pos="2880"/>
        </w:tabs>
        <w:ind w:left="2880" w:hanging="360"/>
      </w:pPr>
      <w:rPr>
        <w:rFonts w:ascii="Times New Roman" w:hAnsi="Times New Roman" w:hint="default"/>
      </w:rPr>
    </w:lvl>
    <w:lvl w:ilvl="4" w:tplc="83E6839A" w:tentative="1">
      <w:start w:val="1"/>
      <w:numFmt w:val="bullet"/>
      <w:lvlText w:val="•"/>
      <w:lvlJc w:val="left"/>
      <w:pPr>
        <w:tabs>
          <w:tab w:val="num" w:pos="3600"/>
        </w:tabs>
        <w:ind w:left="3600" w:hanging="360"/>
      </w:pPr>
      <w:rPr>
        <w:rFonts w:ascii="Times New Roman" w:hAnsi="Times New Roman" w:hint="default"/>
      </w:rPr>
    </w:lvl>
    <w:lvl w:ilvl="5" w:tplc="2FCAD164" w:tentative="1">
      <w:start w:val="1"/>
      <w:numFmt w:val="bullet"/>
      <w:lvlText w:val="•"/>
      <w:lvlJc w:val="left"/>
      <w:pPr>
        <w:tabs>
          <w:tab w:val="num" w:pos="4320"/>
        </w:tabs>
        <w:ind w:left="4320" w:hanging="360"/>
      </w:pPr>
      <w:rPr>
        <w:rFonts w:ascii="Times New Roman" w:hAnsi="Times New Roman" w:hint="default"/>
      </w:rPr>
    </w:lvl>
    <w:lvl w:ilvl="6" w:tplc="833AD02C" w:tentative="1">
      <w:start w:val="1"/>
      <w:numFmt w:val="bullet"/>
      <w:lvlText w:val="•"/>
      <w:lvlJc w:val="left"/>
      <w:pPr>
        <w:tabs>
          <w:tab w:val="num" w:pos="5040"/>
        </w:tabs>
        <w:ind w:left="5040" w:hanging="360"/>
      </w:pPr>
      <w:rPr>
        <w:rFonts w:ascii="Times New Roman" w:hAnsi="Times New Roman" w:hint="default"/>
      </w:rPr>
    </w:lvl>
    <w:lvl w:ilvl="7" w:tplc="B69C23FA" w:tentative="1">
      <w:start w:val="1"/>
      <w:numFmt w:val="bullet"/>
      <w:lvlText w:val="•"/>
      <w:lvlJc w:val="left"/>
      <w:pPr>
        <w:tabs>
          <w:tab w:val="num" w:pos="5760"/>
        </w:tabs>
        <w:ind w:left="5760" w:hanging="360"/>
      </w:pPr>
      <w:rPr>
        <w:rFonts w:ascii="Times New Roman" w:hAnsi="Times New Roman" w:hint="default"/>
      </w:rPr>
    </w:lvl>
    <w:lvl w:ilvl="8" w:tplc="A5C4CE5C" w:tentative="1">
      <w:start w:val="1"/>
      <w:numFmt w:val="bullet"/>
      <w:lvlText w:val="•"/>
      <w:lvlJc w:val="left"/>
      <w:pPr>
        <w:tabs>
          <w:tab w:val="num" w:pos="6480"/>
        </w:tabs>
        <w:ind w:left="6480" w:hanging="360"/>
      </w:pPr>
      <w:rPr>
        <w:rFonts w:ascii="Times New Roman" w:hAnsi="Times New Roman" w:hint="default"/>
      </w:rPr>
    </w:lvl>
  </w:abstractNum>
  <w:abstractNum w:abstractNumId="13" w15:restartNumberingAfterBreak="0">
    <w:nsid w:val="7DD703C1"/>
    <w:multiLevelType w:val="hybridMultilevel"/>
    <w:tmpl w:val="C2D04B86"/>
    <w:lvl w:ilvl="0" w:tplc="3EB2A60C">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11"/>
  </w:num>
  <w:num w:numId="3">
    <w:abstractNumId w:val="12"/>
  </w:num>
  <w:num w:numId="4">
    <w:abstractNumId w:val="2"/>
  </w:num>
  <w:num w:numId="5">
    <w:abstractNumId w:val="13"/>
  </w:num>
  <w:num w:numId="6">
    <w:abstractNumId w:val="8"/>
  </w:num>
  <w:num w:numId="7">
    <w:abstractNumId w:val="3"/>
  </w:num>
  <w:num w:numId="8">
    <w:abstractNumId w:val="0"/>
  </w:num>
  <w:num w:numId="9">
    <w:abstractNumId w:val="4"/>
  </w:num>
  <w:num w:numId="10">
    <w:abstractNumId w:val="1"/>
  </w:num>
  <w:num w:numId="11">
    <w:abstractNumId w:val="5"/>
  </w:num>
  <w:num w:numId="12">
    <w:abstractNumId w:val="9"/>
  </w:num>
  <w:num w:numId="13">
    <w:abstractNumId w:val="7"/>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23C6"/>
    <w:rsid w:val="000068F0"/>
    <w:rsid w:val="0001424C"/>
    <w:rsid w:val="000176B5"/>
    <w:rsid w:val="00045BCD"/>
    <w:rsid w:val="000651A5"/>
    <w:rsid w:val="00086E66"/>
    <w:rsid w:val="00096A63"/>
    <w:rsid w:val="00097639"/>
    <w:rsid w:val="000B2FE9"/>
    <w:rsid w:val="000C267A"/>
    <w:rsid w:val="00136676"/>
    <w:rsid w:val="00143715"/>
    <w:rsid w:val="001466FF"/>
    <w:rsid w:val="0016061E"/>
    <w:rsid w:val="00167E7B"/>
    <w:rsid w:val="00172127"/>
    <w:rsid w:val="001828E9"/>
    <w:rsid w:val="001865F9"/>
    <w:rsid w:val="00195326"/>
    <w:rsid w:val="001B5A3B"/>
    <w:rsid w:val="001C2229"/>
    <w:rsid w:val="001C7997"/>
    <w:rsid w:val="001D3936"/>
    <w:rsid w:val="001F04C6"/>
    <w:rsid w:val="00241396"/>
    <w:rsid w:val="00246D07"/>
    <w:rsid w:val="002904EA"/>
    <w:rsid w:val="002A5F64"/>
    <w:rsid w:val="002C3113"/>
    <w:rsid w:val="002C771C"/>
    <w:rsid w:val="002F5532"/>
    <w:rsid w:val="00305D99"/>
    <w:rsid w:val="0031164E"/>
    <w:rsid w:val="003176D8"/>
    <w:rsid w:val="00327B95"/>
    <w:rsid w:val="0033573A"/>
    <w:rsid w:val="00343753"/>
    <w:rsid w:val="00353193"/>
    <w:rsid w:val="00360875"/>
    <w:rsid w:val="00382BBF"/>
    <w:rsid w:val="0039284F"/>
    <w:rsid w:val="00392DC2"/>
    <w:rsid w:val="003A403E"/>
    <w:rsid w:val="003B3231"/>
    <w:rsid w:val="003F03DE"/>
    <w:rsid w:val="003F1C87"/>
    <w:rsid w:val="00415824"/>
    <w:rsid w:val="004255F2"/>
    <w:rsid w:val="00460CA1"/>
    <w:rsid w:val="00466C7B"/>
    <w:rsid w:val="004733E0"/>
    <w:rsid w:val="00482E84"/>
    <w:rsid w:val="004A1247"/>
    <w:rsid w:val="004B0760"/>
    <w:rsid w:val="004D6E44"/>
    <w:rsid w:val="004F279A"/>
    <w:rsid w:val="004F2B7B"/>
    <w:rsid w:val="004F46CB"/>
    <w:rsid w:val="00502518"/>
    <w:rsid w:val="005044B2"/>
    <w:rsid w:val="00504F38"/>
    <w:rsid w:val="00511568"/>
    <w:rsid w:val="0052560A"/>
    <w:rsid w:val="00534AAE"/>
    <w:rsid w:val="00543A6E"/>
    <w:rsid w:val="005567C6"/>
    <w:rsid w:val="00557469"/>
    <w:rsid w:val="00565DBA"/>
    <w:rsid w:val="00574365"/>
    <w:rsid w:val="005762B8"/>
    <w:rsid w:val="005764D0"/>
    <w:rsid w:val="005813FB"/>
    <w:rsid w:val="00597822"/>
    <w:rsid w:val="005C3196"/>
    <w:rsid w:val="005E394C"/>
    <w:rsid w:val="005F1F57"/>
    <w:rsid w:val="00602DE3"/>
    <w:rsid w:val="00606A80"/>
    <w:rsid w:val="00641FC3"/>
    <w:rsid w:val="00644E8D"/>
    <w:rsid w:val="00647A20"/>
    <w:rsid w:val="006738C1"/>
    <w:rsid w:val="00684AE0"/>
    <w:rsid w:val="00696A8F"/>
    <w:rsid w:val="006B7F20"/>
    <w:rsid w:val="006F1AE2"/>
    <w:rsid w:val="0071268D"/>
    <w:rsid w:val="00722443"/>
    <w:rsid w:val="00722FAA"/>
    <w:rsid w:val="00725AFD"/>
    <w:rsid w:val="0074787D"/>
    <w:rsid w:val="00765756"/>
    <w:rsid w:val="00775B16"/>
    <w:rsid w:val="00785976"/>
    <w:rsid w:val="00790E73"/>
    <w:rsid w:val="00793ECD"/>
    <w:rsid w:val="0079520D"/>
    <w:rsid w:val="00796A06"/>
    <w:rsid w:val="007B6A5D"/>
    <w:rsid w:val="007C3012"/>
    <w:rsid w:val="007D60C2"/>
    <w:rsid w:val="007D6997"/>
    <w:rsid w:val="0082231E"/>
    <w:rsid w:val="00823531"/>
    <w:rsid w:val="00844B91"/>
    <w:rsid w:val="0084673A"/>
    <w:rsid w:val="00853C63"/>
    <w:rsid w:val="00855FF5"/>
    <w:rsid w:val="00865553"/>
    <w:rsid w:val="00872369"/>
    <w:rsid w:val="00892F7F"/>
    <w:rsid w:val="00897D3F"/>
    <w:rsid w:val="008C16B8"/>
    <w:rsid w:val="008D1244"/>
    <w:rsid w:val="008D47D0"/>
    <w:rsid w:val="008D48ED"/>
    <w:rsid w:val="008D7393"/>
    <w:rsid w:val="008E574E"/>
    <w:rsid w:val="00901441"/>
    <w:rsid w:val="00903D06"/>
    <w:rsid w:val="00907F19"/>
    <w:rsid w:val="00925195"/>
    <w:rsid w:val="00931B0E"/>
    <w:rsid w:val="009378AE"/>
    <w:rsid w:val="00974732"/>
    <w:rsid w:val="00996E58"/>
    <w:rsid w:val="009A13DC"/>
    <w:rsid w:val="009B409D"/>
    <w:rsid w:val="009C4254"/>
    <w:rsid w:val="009D1BD2"/>
    <w:rsid w:val="009E2E68"/>
    <w:rsid w:val="009E5D05"/>
    <w:rsid w:val="009F7BBF"/>
    <w:rsid w:val="00A01EEC"/>
    <w:rsid w:val="00A1394E"/>
    <w:rsid w:val="00A34FF1"/>
    <w:rsid w:val="00A455BC"/>
    <w:rsid w:val="00A77BA3"/>
    <w:rsid w:val="00A81387"/>
    <w:rsid w:val="00A82E1B"/>
    <w:rsid w:val="00A8618D"/>
    <w:rsid w:val="00A92F54"/>
    <w:rsid w:val="00AA4CAE"/>
    <w:rsid w:val="00AB2FDB"/>
    <w:rsid w:val="00AC1E7B"/>
    <w:rsid w:val="00AC2D33"/>
    <w:rsid w:val="00AD35BF"/>
    <w:rsid w:val="00AE0937"/>
    <w:rsid w:val="00AE7DFE"/>
    <w:rsid w:val="00B008A0"/>
    <w:rsid w:val="00B12A36"/>
    <w:rsid w:val="00B559BF"/>
    <w:rsid w:val="00B81CB9"/>
    <w:rsid w:val="00B81D37"/>
    <w:rsid w:val="00B83140"/>
    <w:rsid w:val="00BB04A8"/>
    <w:rsid w:val="00BB06E3"/>
    <w:rsid w:val="00BB323D"/>
    <w:rsid w:val="00BB7CC2"/>
    <w:rsid w:val="00BD4E2C"/>
    <w:rsid w:val="00BE6CA6"/>
    <w:rsid w:val="00BF0FB8"/>
    <w:rsid w:val="00C025E3"/>
    <w:rsid w:val="00C12391"/>
    <w:rsid w:val="00C210FB"/>
    <w:rsid w:val="00C44E99"/>
    <w:rsid w:val="00C519F9"/>
    <w:rsid w:val="00C532AD"/>
    <w:rsid w:val="00C74AB9"/>
    <w:rsid w:val="00C74DF2"/>
    <w:rsid w:val="00C76BA9"/>
    <w:rsid w:val="00C86B2A"/>
    <w:rsid w:val="00CA64D0"/>
    <w:rsid w:val="00CD30D9"/>
    <w:rsid w:val="00CD5EF8"/>
    <w:rsid w:val="00CE1E33"/>
    <w:rsid w:val="00CE4418"/>
    <w:rsid w:val="00D223C6"/>
    <w:rsid w:val="00D45CD7"/>
    <w:rsid w:val="00D629E4"/>
    <w:rsid w:val="00D74DB8"/>
    <w:rsid w:val="00D75BAB"/>
    <w:rsid w:val="00D92D22"/>
    <w:rsid w:val="00D95915"/>
    <w:rsid w:val="00D96EC7"/>
    <w:rsid w:val="00DA0AD8"/>
    <w:rsid w:val="00DA264F"/>
    <w:rsid w:val="00DA447C"/>
    <w:rsid w:val="00DA5AFD"/>
    <w:rsid w:val="00DF08BE"/>
    <w:rsid w:val="00E048FE"/>
    <w:rsid w:val="00E13CE0"/>
    <w:rsid w:val="00E20B25"/>
    <w:rsid w:val="00E6081C"/>
    <w:rsid w:val="00E76D4E"/>
    <w:rsid w:val="00E83FD2"/>
    <w:rsid w:val="00E85FF2"/>
    <w:rsid w:val="00E87C6F"/>
    <w:rsid w:val="00E94513"/>
    <w:rsid w:val="00E951F6"/>
    <w:rsid w:val="00E96B45"/>
    <w:rsid w:val="00EB5A62"/>
    <w:rsid w:val="00EC4CA5"/>
    <w:rsid w:val="00EF3B6B"/>
    <w:rsid w:val="00F02CA0"/>
    <w:rsid w:val="00F14C93"/>
    <w:rsid w:val="00F21E2C"/>
    <w:rsid w:val="00F364C1"/>
    <w:rsid w:val="00F36976"/>
    <w:rsid w:val="00F54199"/>
    <w:rsid w:val="00F57176"/>
    <w:rsid w:val="00F76581"/>
    <w:rsid w:val="00F80640"/>
    <w:rsid w:val="00F80BE7"/>
    <w:rsid w:val="00FA2565"/>
    <w:rsid w:val="00FB06EE"/>
    <w:rsid w:val="00FB26CC"/>
    <w:rsid w:val="00FC6C5D"/>
    <w:rsid w:val="00FE48C9"/>
    <w:rsid w:val="00FF453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04B7A74-688E-459C-9B2C-8ED4751976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basedOn w:val="a0"/>
    <w:uiPriority w:val="99"/>
    <w:semiHidden/>
    <w:unhideWhenUsed/>
    <w:rsid w:val="0001424C"/>
    <w:rPr>
      <w:sz w:val="16"/>
      <w:szCs w:val="16"/>
    </w:rPr>
  </w:style>
  <w:style w:type="paragraph" w:styleId="a4">
    <w:name w:val="annotation text"/>
    <w:basedOn w:val="a"/>
    <w:link w:val="a5"/>
    <w:uiPriority w:val="99"/>
    <w:unhideWhenUsed/>
    <w:rsid w:val="0001424C"/>
    <w:pPr>
      <w:spacing w:line="240" w:lineRule="auto"/>
    </w:pPr>
    <w:rPr>
      <w:sz w:val="20"/>
      <w:szCs w:val="20"/>
    </w:rPr>
  </w:style>
  <w:style w:type="character" w:customStyle="1" w:styleId="a5">
    <w:name w:val="טקסט הערה תו"/>
    <w:basedOn w:val="a0"/>
    <w:link w:val="a4"/>
    <w:uiPriority w:val="99"/>
    <w:rsid w:val="0001424C"/>
    <w:rPr>
      <w:sz w:val="20"/>
      <w:szCs w:val="20"/>
    </w:rPr>
  </w:style>
  <w:style w:type="paragraph" w:styleId="a6">
    <w:name w:val="annotation subject"/>
    <w:basedOn w:val="a4"/>
    <w:next w:val="a4"/>
    <w:link w:val="a7"/>
    <w:uiPriority w:val="99"/>
    <w:semiHidden/>
    <w:unhideWhenUsed/>
    <w:rsid w:val="0001424C"/>
    <w:rPr>
      <w:b/>
      <w:bCs/>
    </w:rPr>
  </w:style>
  <w:style w:type="character" w:customStyle="1" w:styleId="a7">
    <w:name w:val="נושא הערה תו"/>
    <w:basedOn w:val="a5"/>
    <w:link w:val="a6"/>
    <w:uiPriority w:val="99"/>
    <w:semiHidden/>
    <w:rsid w:val="0001424C"/>
    <w:rPr>
      <w:b/>
      <w:bCs/>
      <w:sz w:val="20"/>
      <w:szCs w:val="20"/>
    </w:rPr>
  </w:style>
  <w:style w:type="paragraph" w:styleId="a8">
    <w:name w:val="Balloon Text"/>
    <w:basedOn w:val="a"/>
    <w:link w:val="a9"/>
    <w:uiPriority w:val="99"/>
    <w:semiHidden/>
    <w:unhideWhenUsed/>
    <w:rsid w:val="0001424C"/>
    <w:pPr>
      <w:spacing w:after="0" w:line="240" w:lineRule="auto"/>
    </w:pPr>
    <w:rPr>
      <w:rFonts w:ascii="Tahoma" w:hAnsi="Tahoma" w:cs="Tahoma"/>
      <w:sz w:val="16"/>
      <w:szCs w:val="16"/>
    </w:rPr>
  </w:style>
  <w:style w:type="character" w:customStyle="1" w:styleId="a9">
    <w:name w:val="טקסט בלונים תו"/>
    <w:basedOn w:val="a0"/>
    <w:link w:val="a8"/>
    <w:uiPriority w:val="99"/>
    <w:semiHidden/>
    <w:rsid w:val="0001424C"/>
    <w:rPr>
      <w:rFonts w:ascii="Tahoma" w:hAnsi="Tahoma" w:cs="Tahoma"/>
      <w:sz w:val="16"/>
      <w:szCs w:val="16"/>
    </w:rPr>
  </w:style>
  <w:style w:type="character" w:customStyle="1" w:styleId="apple-converted-space">
    <w:name w:val="apple-converted-space"/>
    <w:rsid w:val="0033573A"/>
  </w:style>
  <w:style w:type="character" w:styleId="Hyperlink">
    <w:name w:val="Hyperlink"/>
    <w:uiPriority w:val="99"/>
    <w:unhideWhenUsed/>
    <w:rsid w:val="0033573A"/>
    <w:rPr>
      <w:color w:val="0000FF"/>
      <w:u w:val="single"/>
    </w:rPr>
  </w:style>
  <w:style w:type="paragraph" w:styleId="aa">
    <w:name w:val="footnote text"/>
    <w:basedOn w:val="a"/>
    <w:link w:val="ab"/>
    <w:uiPriority w:val="99"/>
    <w:unhideWhenUsed/>
    <w:rsid w:val="0033573A"/>
    <w:pPr>
      <w:spacing w:after="0" w:line="240" w:lineRule="auto"/>
    </w:pPr>
    <w:rPr>
      <w:rFonts w:ascii="Calibri" w:eastAsia="Calibri" w:hAnsi="Calibri" w:cs="Times New Roman"/>
      <w:sz w:val="20"/>
      <w:szCs w:val="20"/>
    </w:rPr>
  </w:style>
  <w:style w:type="character" w:customStyle="1" w:styleId="ab">
    <w:name w:val="טקסט הערת שוליים תו"/>
    <w:basedOn w:val="a0"/>
    <w:link w:val="aa"/>
    <w:uiPriority w:val="99"/>
    <w:rsid w:val="0033573A"/>
    <w:rPr>
      <w:rFonts w:ascii="Calibri" w:eastAsia="Calibri" w:hAnsi="Calibri" w:cs="Times New Roman"/>
      <w:sz w:val="20"/>
      <w:szCs w:val="20"/>
    </w:rPr>
  </w:style>
  <w:style w:type="character" w:styleId="ac">
    <w:name w:val="footnote reference"/>
    <w:uiPriority w:val="99"/>
    <w:semiHidden/>
    <w:unhideWhenUsed/>
    <w:rsid w:val="0033573A"/>
    <w:rPr>
      <w:vertAlign w:val="superscript"/>
    </w:rPr>
  </w:style>
  <w:style w:type="paragraph" w:customStyle="1" w:styleId="MediaNeutralStyle">
    <w:name w:val="Media Neutral Style"/>
    <w:basedOn w:val="a"/>
    <w:next w:val="a"/>
    <w:semiHidden/>
    <w:rsid w:val="00AE7DFE"/>
    <w:pPr>
      <w:bidi w:val="0"/>
      <w:spacing w:before="20" w:after="20" w:line="360" w:lineRule="auto"/>
      <w:jc w:val="center"/>
    </w:pPr>
    <w:rPr>
      <w:rFonts w:ascii="Times New Roman" w:eastAsia="Batang" w:hAnsi="Times New Roman" w:cs="Times New Roman"/>
      <w:b/>
      <w:sz w:val="26"/>
      <w:szCs w:val="20"/>
      <w:lang w:val="en-AU" w:bidi="ar-SA"/>
    </w:rPr>
  </w:style>
  <w:style w:type="paragraph" w:customStyle="1" w:styleId="acthead5">
    <w:name w:val="acthead5"/>
    <w:basedOn w:val="a"/>
    <w:rsid w:val="005F1F57"/>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ubsection">
    <w:name w:val="subsection"/>
    <w:basedOn w:val="a"/>
    <w:rsid w:val="005F1F57"/>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ragraph">
    <w:name w:val="paragraph"/>
    <w:basedOn w:val="a"/>
    <w:rsid w:val="005F1F57"/>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ubsection2">
    <w:name w:val="subsection2"/>
    <w:basedOn w:val="a"/>
    <w:rsid w:val="005F1F57"/>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ubsectionhead">
    <w:name w:val="subsectionhead"/>
    <w:basedOn w:val="a"/>
    <w:rsid w:val="005F1F57"/>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arsectno">
    <w:name w:val="charsectno"/>
    <w:rsid w:val="005F1F57"/>
  </w:style>
  <w:style w:type="paragraph" w:customStyle="1" w:styleId="Default">
    <w:name w:val="Default"/>
    <w:rsid w:val="00DA264F"/>
    <w:pPr>
      <w:autoSpaceDE w:val="0"/>
      <w:autoSpaceDN w:val="0"/>
      <w:adjustRightInd w:val="0"/>
      <w:spacing w:after="0" w:line="240" w:lineRule="auto"/>
    </w:pPr>
    <w:rPr>
      <w:rFonts w:ascii="Calibri" w:hAnsi="Calibri" w:cs="Calibri"/>
      <w:color w:val="000000"/>
      <w:sz w:val="24"/>
      <w:szCs w:val="24"/>
    </w:rPr>
  </w:style>
  <w:style w:type="character" w:styleId="FollowedHyperlink">
    <w:name w:val="FollowedHyperlink"/>
    <w:basedOn w:val="a0"/>
    <w:uiPriority w:val="99"/>
    <w:semiHidden/>
    <w:unhideWhenUsed/>
    <w:rsid w:val="00B12A36"/>
    <w:rPr>
      <w:color w:val="800080" w:themeColor="followedHyperlink"/>
      <w:u w:val="single"/>
    </w:rPr>
  </w:style>
  <w:style w:type="paragraph" w:styleId="ad">
    <w:name w:val="List Paragraph"/>
    <w:basedOn w:val="a"/>
    <w:uiPriority w:val="34"/>
    <w:qFormat/>
    <w:rsid w:val="00B12A36"/>
    <w:pPr>
      <w:ind w:left="720"/>
      <w:contextualSpacing/>
    </w:pPr>
  </w:style>
  <w:style w:type="character" w:styleId="ae">
    <w:name w:val="Emphasis"/>
    <w:basedOn w:val="a0"/>
    <w:uiPriority w:val="20"/>
    <w:qFormat/>
    <w:rsid w:val="00DA0AD8"/>
    <w:rPr>
      <w:i/>
      <w:iCs/>
    </w:rPr>
  </w:style>
  <w:style w:type="paragraph" w:styleId="NormalWeb">
    <w:name w:val="Normal (Web)"/>
    <w:basedOn w:val="a"/>
    <w:uiPriority w:val="99"/>
    <w:unhideWhenUsed/>
    <w:rsid w:val="00C519F9"/>
    <w:pPr>
      <w:bidi w:val="0"/>
      <w:spacing w:before="100" w:beforeAutospacing="1" w:after="100" w:afterAutospacing="1" w:line="240" w:lineRule="auto"/>
    </w:pPr>
    <w:rPr>
      <w:rFonts w:ascii="Times New Roman" w:eastAsia="Times New Roman" w:hAnsi="Times New Roman" w:cs="Times New Roman"/>
      <w:sz w:val="24"/>
      <w:szCs w:val="24"/>
    </w:rPr>
  </w:style>
  <w:style w:type="paragraph" w:styleId="af">
    <w:name w:val="header"/>
    <w:basedOn w:val="a"/>
    <w:link w:val="af0"/>
    <w:uiPriority w:val="99"/>
    <w:unhideWhenUsed/>
    <w:rsid w:val="00167E7B"/>
    <w:pPr>
      <w:tabs>
        <w:tab w:val="center" w:pos="4153"/>
        <w:tab w:val="right" w:pos="8306"/>
      </w:tabs>
      <w:spacing w:after="0" w:line="240" w:lineRule="auto"/>
    </w:pPr>
  </w:style>
  <w:style w:type="character" w:customStyle="1" w:styleId="af0">
    <w:name w:val="כותרת עליונה תו"/>
    <w:basedOn w:val="a0"/>
    <w:link w:val="af"/>
    <w:uiPriority w:val="99"/>
    <w:rsid w:val="00167E7B"/>
  </w:style>
  <w:style w:type="paragraph" w:styleId="af1">
    <w:name w:val="footer"/>
    <w:basedOn w:val="a"/>
    <w:link w:val="af2"/>
    <w:uiPriority w:val="99"/>
    <w:unhideWhenUsed/>
    <w:rsid w:val="00167E7B"/>
    <w:pPr>
      <w:tabs>
        <w:tab w:val="center" w:pos="4153"/>
        <w:tab w:val="right" w:pos="8306"/>
      </w:tabs>
      <w:spacing w:after="0" w:line="240" w:lineRule="auto"/>
    </w:pPr>
  </w:style>
  <w:style w:type="character" w:customStyle="1" w:styleId="af2">
    <w:name w:val="כותרת תחתונה תו"/>
    <w:basedOn w:val="a0"/>
    <w:link w:val="af1"/>
    <w:uiPriority w:val="99"/>
    <w:rsid w:val="00167E7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9236961">
      <w:bodyDiv w:val="1"/>
      <w:marLeft w:val="0"/>
      <w:marRight w:val="0"/>
      <w:marTop w:val="0"/>
      <w:marBottom w:val="0"/>
      <w:divBdr>
        <w:top w:val="none" w:sz="0" w:space="0" w:color="auto"/>
        <w:left w:val="none" w:sz="0" w:space="0" w:color="auto"/>
        <w:bottom w:val="none" w:sz="0" w:space="0" w:color="auto"/>
        <w:right w:val="none" w:sz="0" w:space="0" w:color="auto"/>
      </w:divBdr>
      <w:divsChild>
        <w:div w:id="898053058">
          <w:marLeft w:val="734"/>
          <w:marRight w:val="0"/>
          <w:marTop w:val="120"/>
          <w:marBottom w:val="0"/>
          <w:divBdr>
            <w:top w:val="none" w:sz="0" w:space="0" w:color="auto"/>
            <w:left w:val="none" w:sz="0" w:space="0" w:color="auto"/>
            <w:bottom w:val="none" w:sz="0" w:space="0" w:color="auto"/>
            <w:right w:val="none" w:sz="0" w:space="0" w:color="auto"/>
          </w:divBdr>
        </w:div>
        <w:div w:id="1883177287">
          <w:marLeft w:val="734"/>
          <w:marRight w:val="0"/>
          <w:marTop w:val="120"/>
          <w:marBottom w:val="0"/>
          <w:divBdr>
            <w:top w:val="none" w:sz="0" w:space="0" w:color="auto"/>
            <w:left w:val="none" w:sz="0" w:space="0" w:color="auto"/>
            <w:bottom w:val="none" w:sz="0" w:space="0" w:color="auto"/>
            <w:right w:val="none" w:sz="0" w:space="0" w:color="auto"/>
          </w:divBdr>
        </w:div>
      </w:divsChild>
    </w:div>
    <w:div w:id="89854193">
      <w:bodyDiv w:val="1"/>
      <w:marLeft w:val="0"/>
      <w:marRight w:val="0"/>
      <w:marTop w:val="0"/>
      <w:marBottom w:val="0"/>
      <w:divBdr>
        <w:top w:val="none" w:sz="0" w:space="0" w:color="auto"/>
        <w:left w:val="none" w:sz="0" w:space="0" w:color="auto"/>
        <w:bottom w:val="none" w:sz="0" w:space="0" w:color="auto"/>
        <w:right w:val="none" w:sz="0" w:space="0" w:color="auto"/>
      </w:divBdr>
      <w:divsChild>
        <w:div w:id="1162889977">
          <w:blockQuote w:val="1"/>
          <w:marLeft w:val="720"/>
          <w:marRight w:val="720"/>
          <w:marTop w:val="100"/>
          <w:marBottom w:val="100"/>
          <w:divBdr>
            <w:top w:val="none" w:sz="0" w:space="0" w:color="auto"/>
            <w:left w:val="none" w:sz="0" w:space="0" w:color="auto"/>
            <w:bottom w:val="none" w:sz="0" w:space="0" w:color="auto"/>
            <w:right w:val="none" w:sz="0" w:space="0" w:color="auto"/>
          </w:divBdr>
        </w:div>
        <w:div w:id="1644845950">
          <w:blockQuote w:val="1"/>
          <w:marLeft w:val="720"/>
          <w:marRight w:val="720"/>
          <w:marTop w:val="100"/>
          <w:marBottom w:val="100"/>
          <w:divBdr>
            <w:top w:val="none" w:sz="0" w:space="0" w:color="auto"/>
            <w:left w:val="none" w:sz="0" w:space="0" w:color="auto"/>
            <w:bottom w:val="none" w:sz="0" w:space="0" w:color="auto"/>
            <w:right w:val="none" w:sz="0" w:space="0" w:color="auto"/>
          </w:divBdr>
        </w:div>
        <w:div w:id="140738439">
          <w:blockQuote w:val="1"/>
          <w:marLeft w:val="720"/>
          <w:marRight w:val="720"/>
          <w:marTop w:val="100"/>
          <w:marBottom w:val="100"/>
          <w:divBdr>
            <w:top w:val="none" w:sz="0" w:space="0" w:color="auto"/>
            <w:left w:val="none" w:sz="0" w:space="0" w:color="auto"/>
            <w:bottom w:val="none" w:sz="0" w:space="0" w:color="auto"/>
            <w:right w:val="none" w:sz="0" w:space="0" w:color="auto"/>
          </w:divBdr>
        </w:div>
        <w:div w:id="129396908">
          <w:blockQuote w:val="1"/>
          <w:marLeft w:val="720"/>
          <w:marRight w:val="720"/>
          <w:marTop w:val="100"/>
          <w:marBottom w:val="100"/>
          <w:divBdr>
            <w:top w:val="none" w:sz="0" w:space="0" w:color="auto"/>
            <w:left w:val="none" w:sz="0" w:space="0" w:color="auto"/>
            <w:bottom w:val="none" w:sz="0" w:space="0" w:color="auto"/>
            <w:right w:val="none" w:sz="0" w:space="0" w:color="auto"/>
          </w:divBdr>
        </w:div>
        <w:div w:id="365450568">
          <w:blockQuote w:val="1"/>
          <w:marLeft w:val="720"/>
          <w:marRight w:val="720"/>
          <w:marTop w:val="100"/>
          <w:marBottom w:val="100"/>
          <w:divBdr>
            <w:top w:val="none" w:sz="0" w:space="0" w:color="auto"/>
            <w:left w:val="none" w:sz="0" w:space="0" w:color="auto"/>
            <w:bottom w:val="none" w:sz="0" w:space="0" w:color="auto"/>
            <w:right w:val="none" w:sz="0" w:space="0" w:color="auto"/>
          </w:divBdr>
        </w:div>
        <w:div w:id="125215398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7520067">
      <w:bodyDiv w:val="1"/>
      <w:marLeft w:val="0"/>
      <w:marRight w:val="0"/>
      <w:marTop w:val="0"/>
      <w:marBottom w:val="0"/>
      <w:divBdr>
        <w:top w:val="none" w:sz="0" w:space="0" w:color="auto"/>
        <w:left w:val="none" w:sz="0" w:space="0" w:color="auto"/>
        <w:bottom w:val="none" w:sz="0" w:space="0" w:color="auto"/>
        <w:right w:val="none" w:sz="0" w:space="0" w:color="auto"/>
      </w:divBdr>
      <w:divsChild>
        <w:div w:id="792331311">
          <w:marLeft w:val="0"/>
          <w:marRight w:val="0"/>
          <w:marTop w:val="0"/>
          <w:marBottom w:val="0"/>
          <w:divBdr>
            <w:top w:val="none" w:sz="0" w:space="0" w:color="auto"/>
            <w:left w:val="none" w:sz="0" w:space="0" w:color="auto"/>
            <w:bottom w:val="none" w:sz="0" w:space="0" w:color="auto"/>
            <w:right w:val="none" w:sz="0" w:space="0" w:color="auto"/>
          </w:divBdr>
          <w:divsChild>
            <w:div w:id="1127972060">
              <w:marLeft w:val="0"/>
              <w:marRight w:val="0"/>
              <w:marTop w:val="0"/>
              <w:marBottom w:val="0"/>
              <w:divBdr>
                <w:top w:val="none" w:sz="0" w:space="0" w:color="auto"/>
                <w:left w:val="none" w:sz="0" w:space="0" w:color="auto"/>
                <w:bottom w:val="none" w:sz="0" w:space="0" w:color="auto"/>
                <w:right w:val="none" w:sz="0" w:space="0" w:color="auto"/>
              </w:divBdr>
              <w:divsChild>
                <w:div w:id="2026053539">
                  <w:marLeft w:val="0"/>
                  <w:marRight w:val="0"/>
                  <w:marTop w:val="0"/>
                  <w:marBottom w:val="0"/>
                  <w:divBdr>
                    <w:top w:val="none" w:sz="0" w:space="0" w:color="auto"/>
                    <w:left w:val="none" w:sz="0" w:space="0" w:color="auto"/>
                    <w:bottom w:val="none" w:sz="0" w:space="0" w:color="auto"/>
                    <w:right w:val="none" w:sz="0" w:space="0" w:color="auto"/>
                  </w:divBdr>
                  <w:divsChild>
                    <w:div w:id="965157560">
                      <w:marLeft w:val="0"/>
                      <w:marRight w:val="0"/>
                      <w:marTop w:val="0"/>
                      <w:marBottom w:val="0"/>
                      <w:divBdr>
                        <w:top w:val="none" w:sz="0" w:space="0" w:color="auto"/>
                        <w:left w:val="none" w:sz="0" w:space="0" w:color="auto"/>
                        <w:bottom w:val="none" w:sz="0" w:space="0" w:color="auto"/>
                        <w:right w:val="none" w:sz="0" w:space="0" w:color="auto"/>
                      </w:divBdr>
                      <w:divsChild>
                        <w:div w:id="205129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5456134">
      <w:bodyDiv w:val="1"/>
      <w:marLeft w:val="0"/>
      <w:marRight w:val="0"/>
      <w:marTop w:val="0"/>
      <w:marBottom w:val="0"/>
      <w:divBdr>
        <w:top w:val="none" w:sz="0" w:space="0" w:color="auto"/>
        <w:left w:val="none" w:sz="0" w:space="0" w:color="auto"/>
        <w:bottom w:val="none" w:sz="0" w:space="0" w:color="auto"/>
        <w:right w:val="none" w:sz="0" w:space="0" w:color="auto"/>
      </w:divBdr>
      <w:divsChild>
        <w:div w:id="1977907392">
          <w:marLeft w:val="734"/>
          <w:marRight w:val="0"/>
          <w:marTop w:val="120"/>
          <w:marBottom w:val="0"/>
          <w:divBdr>
            <w:top w:val="none" w:sz="0" w:space="0" w:color="auto"/>
            <w:left w:val="none" w:sz="0" w:space="0" w:color="auto"/>
            <w:bottom w:val="none" w:sz="0" w:space="0" w:color="auto"/>
            <w:right w:val="none" w:sz="0" w:space="0" w:color="auto"/>
          </w:divBdr>
        </w:div>
      </w:divsChild>
    </w:div>
    <w:div w:id="258173753">
      <w:bodyDiv w:val="1"/>
      <w:marLeft w:val="0"/>
      <w:marRight w:val="0"/>
      <w:marTop w:val="0"/>
      <w:marBottom w:val="0"/>
      <w:divBdr>
        <w:top w:val="none" w:sz="0" w:space="0" w:color="auto"/>
        <w:left w:val="none" w:sz="0" w:space="0" w:color="auto"/>
        <w:bottom w:val="none" w:sz="0" w:space="0" w:color="auto"/>
        <w:right w:val="none" w:sz="0" w:space="0" w:color="auto"/>
      </w:divBdr>
    </w:div>
    <w:div w:id="961884080">
      <w:bodyDiv w:val="1"/>
      <w:marLeft w:val="0"/>
      <w:marRight w:val="0"/>
      <w:marTop w:val="0"/>
      <w:marBottom w:val="0"/>
      <w:divBdr>
        <w:top w:val="none" w:sz="0" w:space="0" w:color="auto"/>
        <w:left w:val="none" w:sz="0" w:space="0" w:color="auto"/>
        <w:bottom w:val="none" w:sz="0" w:space="0" w:color="auto"/>
        <w:right w:val="none" w:sz="0" w:space="0" w:color="auto"/>
      </w:divBdr>
    </w:div>
    <w:div w:id="1213154956">
      <w:bodyDiv w:val="1"/>
      <w:marLeft w:val="0"/>
      <w:marRight w:val="0"/>
      <w:marTop w:val="0"/>
      <w:marBottom w:val="0"/>
      <w:divBdr>
        <w:top w:val="none" w:sz="0" w:space="0" w:color="auto"/>
        <w:left w:val="none" w:sz="0" w:space="0" w:color="auto"/>
        <w:bottom w:val="none" w:sz="0" w:space="0" w:color="auto"/>
        <w:right w:val="none" w:sz="0" w:space="0" w:color="auto"/>
      </w:divBdr>
      <w:divsChild>
        <w:div w:id="1212154836">
          <w:marLeft w:val="734"/>
          <w:marRight w:val="0"/>
          <w:marTop w:val="120"/>
          <w:marBottom w:val="0"/>
          <w:divBdr>
            <w:top w:val="none" w:sz="0" w:space="0" w:color="auto"/>
            <w:left w:val="none" w:sz="0" w:space="0" w:color="auto"/>
            <w:bottom w:val="none" w:sz="0" w:space="0" w:color="auto"/>
            <w:right w:val="none" w:sz="0" w:space="0" w:color="auto"/>
          </w:divBdr>
        </w:div>
        <w:div w:id="915480221">
          <w:marLeft w:val="734"/>
          <w:marRight w:val="0"/>
          <w:marTop w:val="120"/>
          <w:marBottom w:val="0"/>
          <w:divBdr>
            <w:top w:val="none" w:sz="0" w:space="0" w:color="auto"/>
            <w:left w:val="none" w:sz="0" w:space="0" w:color="auto"/>
            <w:bottom w:val="none" w:sz="0" w:space="0" w:color="auto"/>
            <w:right w:val="none" w:sz="0" w:space="0" w:color="auto"/>
          </w:divBdr>
        </w:div>
        <w:div w:id="189144315">
          <w:marLeft w:val="734"/>
          <w:marRight w:val="0"/>
          <w:marTop w:val="120"/>
          <w:marBottom w:val="0"/>
          <w:divBdr>
            <w:top w:val="none" w:sz="0" w:space="0" w:color="auto"/>
            <w:left w:val="none" w:sz="0" w:space="0" w:color="auto"/>
            <w:bottom w:val="none" w:sz="0" w:space="0" w:color="auto"/>
            <w:right w:val="none" w:sz="0" w:space="0" w:color="auto"/>
          </w:divBdr>
        </w:div>
      </w:divsChild>
    </w:div>
    <w:div w:id="1366323871">
      <w:bodyDiv w:val="1"/>
      <w:marLeft w:val="0"/>
      <w:marRight w:val="0"/>
      <w:marTop w:val="0"/>
      <w:marBottom w:val="0"/>
      <w:divBdr>
        <w:top w:val="none" w:sz="0" w:space="0" w:color="auto"/>
        <w:left w:val="none" w:sz="0" w:space="0" w:color="auto"/>
        <w:bottom w:val="none" w:sz="0" w:space="0" w:color="auto"/>
        <w:right w:val="none" w:sz="0" w:space="0" w:color="auto"/>
      </w:divBdr>
    </w:div>
    <w:div w:id="1374228766">
      <w:bodyDiv w:val="1"/>
      <w:marLeft w:val="0"/>
      <w:marRight w:val="0"/>
      <w:marTop w:val="0"/>
      <w:marBottom w:val="0"/>
      <w:divBdr>
        <w:top w:val="none" w:sz="0" w:space="0" w:color="auto"/>
        <w:left w:val="none" w:sz="0" w:space="0" w:color="auto"/>
        <w:bottom w:val="none" w:sz="0" w:space="0" w:color="auto"/>
        <w:right w:val="none" w:sz="0" w:space="0" w:color="auto"/>
      </w:divBdr>
    </w:div>
    <w:div w:id="1404719706">
      <w:bodyDiv w:val="1"/>
      <w:marLeft w:val="0"/>
      <w:marRight w:val="0"/>
      <w:marTop w:val="0"/>
      <w:marBottom w:val="0"/>
      <w:divBdr>
        <w:top w:val="none" w:sz="0" w:space="0" w:color="auto"/>
        <w:left w:val="none" w:sz="0" w:space="0" w:color="auto"/>
        <w:bottom w:val="none" w:sz="0" w:space="0" w:color="auto"/>
        <w:right w:val="none" w:sz="0" w:space="0" w:color="auto"/>
      </w:divBdr>
    </w:div>
    <w:div w:id="1423646705">
      <w:bodyDiv w:val="1"/>
      <w:marLeft w:val="0"/>
      <w:marRight w:val="0"/>
      <w:marTop w:val="0"/>
      <w:marBottom w:val="0"/>
      <w:divBdr>
        <w:top w:val="none" w:sz="0" w:space="0" w:color="auto"/>
        <w:left w:val="none" w:sz="0" w:space="0" w:color="auto"/>
        <w:bottom w:val="none" w:sz="0" w:space="0" w:color="auto"/>
        <w:right w:val="none" w:sz="0" w:space="0" w:color="auto"/>
      </w:divBdr>
      <w:divsChild>
        <w:div w:id="1508788153">
          <w:marLeft w:val="734"/>
          <w:marRight w:val="0"/>
          <w:marTop w:val="120"/>
          <w:marBottom w:val="0"/>
          <w:divBdr>
            <w:top w:val="none" w:sz="0" w:space="0" w:color="auto"/>
            <w:left w:val="none" w:sz="0" w:space="0" w:color="auto"/>
            <w:bottom w:val="none" w:sz="0" w:space="0" w:color="auto"/>
            <w:right w:val="none" w:sz="0" w:space="0" w:color="auto"/>
          </w:divBdr>
        </w:div>
        <w:div w:id="1279676304">
          <w:marLeft w:val="734"/>
          <w:marRight w:val="0"/>
          <w:marTop w:val="120"/>
          <w:marBottom w:val="0"/>
          <w:divBdr>
            <w:top w:val="none" w:sz="0" w:space="0" w:color="auto"/>
            <w:left w:val="none" w:sz="0" w:space="0" w:color="auto"/>
            <w:bottom w:val="none" w:sz="0" w:space="0" w:color="auto"/>
            <w:right w:val="none" w:sz="0" w:space="0" w:color="auto"/>
          </w:divBdr>
        </w:div>
        <w:div w:id="1427268710">
          <w:marLeft w:val="734"/>
          <w:marRight w:val="0"/>
          <w:marTop w:val="120"/>
          <w:marBottom w:val="0"/>
          <w:divBdr>
            <w:top w:val="none" w:sz="0" w:space="0" w:color="auto"/>
            <w:left w:val="none" w:sz="0" w:space="0" w:color="auto"/>
            <w:bottom w:val="none" w:sz="0" w:space="0" w:color="auto"/>
            <w:right w:val="none" w:sz="0" w:space="0" w:color="auto"/>
          </w:divBdr>
        </w:div>
      </w:divsChild>
    </w:div>
    <w:div w:id="1890606520">
      <w:bodyDiv w:val="1"/>
      <w:marLeft w:val="0"/>
      <w:marRight w:val="0"/>
      <w:marTop w:val="0"/>
      <w:marBottom w:val="0"/>
      <w:divBdr>
        <w:top w:val="none" w:sz="0" w:space="0" w:color="auto"/>
        <w:left w:val="none" w:sz="0" w:space="0" w:color="auto"/>
        <w:bottom w:val="none" w:sz="0" w:space="0" w:color="auto"/>
        <w:right w:val="none" w:sz="0" w:space="0" w:color="auto"/>
      </w:divBdr>
      <w:divsChild>
        <w:div w:id="1291135387">
          <w:marLeft w:val="240"/>
          <w:marRight w:val="0"/>
          <w:marTop w:val="60"/>
          <w:marBottom w:val="60"/>
          <w:divBdr>
            <w:top w:val="none" w:sz="0" w:space="0" w:color="auto"/>
            <w:left w:val="none" w:sz="0" w:space="0" w:color="auto"/>
            <w:bottom w:val="none" w:sz="0" w:space="0" w:color="auto"/>
            <w:right w:val="none" w:sz="0" w:space="0" w:color="auto"/>
          </w:divBdr>
          <w:divsChild>
            <w:div w:id="1038772867">
              <w:marLeft w:val="0"/>
              <w:marRight w:val="0"/>
              <w:marTop w:val="0"/>
              <w:marBottom w:val="0"/>
              <w:divBdr>
                <w:top w:val="none" w:sz="0" w:space="0" w:color="auto"/>
                <w:left w:val="none" w:sz="0" w:space="0" w:color="auto"/>
                <w:bottom w:val="none" w:sz="0" w:space="0" w:color="auto"/>
                <w:right w:val="none" w:sz="0" w:space="0" w:color="auto"/>
              </w:divBdr>
            </w:div>
          </w:divsChild>
        </w:div>
        <w:div w:id="1165898374">
          <w:marLeft w:val="240"/>
          <w:marRight w:val="0"/>
          <w:marTop w:val="60"/>
          <w:marBottom w:val="60"/>
          <w:divBdr>
            <w:top w:val="none" w:sz="0" w:space="0" w:color="auto"/>
            <w:left w:val="none" w:sz="0" w:space="0" w:color="auto"/>
            <w:bottom w:val="none" w:sz="0" w:space="0" w:color="auto"/>
            <w:right w:val="none" w:sz="0" w:space="0" w:color="auto"/>
          </w:divBdr>
          <w:divsChild>
            <w:div w:id="680357647">
              <w:marLeft w:val="0"/>
              <w:marRight w:val="0"/>
              <w:marTop w:val="0"/>
              <w:marBottom w:val="0"/>
              <w:divBdr>
                <w:top w:val="none" w:sz="0" w:space="0" w:color="auto"/>
                <w:left w:val="none" w:sz="0" w:space="0" w:color="auto"/>
                <w:bottom w:val="none" w:sz="0" w:space="0" w:color="auto"/>
                <w:right w:val="none" w:sz="0" w:space="0" w:color="auto"/>
              </w:divBdr>
            </w:div>
          </w:divsChild>
        </w:div>
        <w:div w:id="1415200634">
          <w:marLeft w:val="240"/>
          <w:marRight w:val="0"/>
          <w:marTop w:val="60"/>
          <w:marBottom w:val="60"/>
          <w:divBdr>
            <w:top w:val="none" w:sz="0" w:space="0" w:color="auto"/>
            <w:left w:val="none" w:sz="0" w:space="0" w:color="auto"/>
            <w:bottom w:val="none" w:sz="0" w:space="0" w:color="auto"/>
            <w:right w:val="none" w:sz="0" w:space="0" w:color="auto"/>
          </w:divBdr>
          <w:divsChild>
            <w:div w:id="1359624371">
              <w:marLeft w:val="0"/>
              <w:marRight w:val="0"/>
              <w:marTop w:val="0"/>
              <w:marBottom w:val="0"/>
              <w:divBdr>
                <w:top w:val="none" w:sz="0" w:space="0" w:color="auto"/>
                <w:left w:val="none" w:sz="0" w:space="0" w:color="auto"/>
                <w:bottom w:val="none" w:sz="0" w:space="0" w:color="auto"/>
                <w:right w:val="none" w:sz="0" w:space="0" w:color="auto"/>
              </w:divBdr>
            </w:div>
          </w:divsChild>
        </w:div>
        <w:div w:id="1718821149">
          <w:marLeft w:val="240"/>
          <w:marRight w:val="0"/>
          <w:marTop w:val="60"/>
          <w:marBottom w:val="60"/>
          <w:divBdr>
            <w:top w:val="none" w:sz="0" w:space="0" w:color="auto"/>
            <w:left w:val="none" w:sz="0" w:space="0" w:color="auto"/>
            <w:bottom w:val="none" w:sz="0" w:space="0" w:color="auto"/>
            <w:right w:val="none" w:sz="0" w:space="0" w:color="auto"/>
          </w:divBdr>
          <w:divsChild>
            <w:div w:id="918950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3031436">
      <w:bodyDiv w:val="1"/>
      <w:marLeft w:val="0"/>
      <w:marRight w:val="0"/>
      <w:marTop w:val="0"/>
      <w:marBottom w:val="0"/>
      <w:divBdr>
        <w:top w:val="none" w:sz="0" w:space="0" w:color="auto"/>
        <w:left w:val="none" w:sz="0" w:space="0" w:color="auto"/>
        <w:bottom w:val="none" w:sz="0" w:space="0" w:color="auto"/>
        <w:right w:val="none" w:sz="0" w:space="0" w:color="auto"/>
      </w:divBdr>
    </w:div>
    <w:div w:id="1921789740">
      <w:bodyDiv w:val="1"/>
      <w:marLeft w:val="0"/>
      <w:marRight w:val="0"/>
      <w:marTop w:val="0"/>
      <w:marBottom w:val="0"/>
      <w:divBdr>
        <w:top w:val="none" w:sz="0" w:space="0" w:color="auto"/>
        <w:left w:val="none" w:sz="0" w:space="0" w:color="auto"/>
        <w:bottom w:val="none" w:sz="0" w:space="0" w:color="auto"/>
        <w:right w:val="none" w:sz="0" w:space="0" w:color="auto"/>
      </w:divBdr>
    </w:div>
    <w:div w:id="2020545061">
      <w:bodyDiv w:val="1"/>
      <w:marLeft w:val="0"/>
      <w:marRight w:val="0"/>
      <w:marTop w:val="0"/>
      <w:marBottom w:val="0"/>
      <w:divBdr>
        <w:top w:val="none" w:sz="0" w:space="0" w:color="auto"/>
        <w:left w:val="none" w:sz="0" w:space="0" w:color="auto"/>
        <w:bottom w:val="none" w:sz="0" w:space="0" w:color="auto"/>
        <w:right w:val="none" w:sz="0" w:space="0" w:color="auto"/>
      </w:divBdr>
      <w:divsChild>
        <w:div w:id="457770986">
          <w:marLeft w:val="734"/>
          <w:marRight w:val="0"/>
          <w:marTop w:val="120"/>
          <w:marBottom w:val="0"/>
          <w:divBdr>
            <w:top w:val="none" w:sz="0" w:space="0" w:color="auto"/>
            <w:left w:val="none" w:sz="0" w:space="0" w:color="auto"/>
            <w:bottom w:val="none" w:sz="0" w:space="0" w:color="auto"/>
            <w:right w:val="none" w:sz="0" w:space="0" w:color="auto"/>
          </w:divBdr>
        </w:div>
        <w:div w:id="2091728723">
          <w:marLeft w:val="734"/>
          <w:marRight w:val="0"/>
          <w:marTop w:val="120"/>
          <w:marBottom w:val="0"/>
          <w:divBdr>
            <w:top w:val="none" w:sz="0" w:space="0" w:color="auto"/>
            <w:left w:val="none" w:sz="0" w:space="0" w:color="auto"/>
            <w:bottom w:val="none" w:sz="0" w:space="0" w:color="auto"/>
            <w:right w:val="none" w:sz="0" w:space="0" w:color="auto"/>
          </w:divBdr>
        </w:div>
        <w:div w:id="1999843514">
          <w:marLeft w:val="734"/>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www.bailii.org/ew/cases/EWHC/Ch/2017/3414.html" TargetMode="External"/><Relationship Id="rId13" Type="http://schemas.openxmlformats.org/officeDocument/2006/relationships/hyperlink" Target="https://www.comlaw.gov.au/Details/C2015A00080" TargetMode="External"/><Relationship Id="rId3" Type="http://schemas.openxmlformats.org/officeDocument/2006/relationships/hyperlink" Target="http://eur-lex.europa.eu/LexUriServ/LexUriServ.do?uri=OJ:L:2001:167:0010:0019:EN:PDF" TargetMode="External"/><Relationship Id="rId7" Type="http://schemas.openxmlformats.org/officeDocument/2006/relationships/hyperlink" Target="http://www.bailii.org/ew/cases/EWHC/Ch/2017/480.html" TargetMode="External"/><Relationship Id="rId12" Type="http://schemas.openxmlformats.org/officeDocument/2006/relationships/hyperlink" Target="http://cyberlaw.stanford.edu/blog/2016/03/german-supreme-court-upholds-blocking-orders" TargetMode="External"/><Relationship Id="rId2" Type="http://schemas.openxmlformats.org/officeDocument/2006/relationships/hyperlink" Target="https://dx.doi.org/10.2139/ssrn.2612063" TargetMode="External"/><Relationship Id="rId1" Type="http://schemas.openxmlformats.org/officeDocument/2006/relationships/hyperlink" Target="https://ssrn.com/abstract=2612063" TargetMode="External"/><Relationship Id="rId6" Type="http://schemas.openxmlformats.org/officeDocument/2006/relationships/hyperlink" Target="http://www.bailii.org/ew/cases/EWHC/Ch/2011/2714.html" TargetMode="External"/><Relationship Id="rId11" Type="http://schemas.openxmlformats.org/officeDocument/2006/relationships/hyperlink" Target="http://juris.bundesgerichtshof.de/cgi-bin/rechtsprechung/document.py?Gericht=bgh&amp;Art=en&amp;client=12&amp;nr=73488&amp;pos=0&amp;anz=1&amp;Blank=1.pdf" TargetMode="External"/><Relationship Id="rId5" Type="http://schemas.openxmlformats.org/officeDocument/2006/relationships/hyperlink" Target="http://eur-lex.europa.eu/LexUriServ/LexUriServ.do?uri=CELEX:32000L0031:en:HTML" TargetMode="External"/><Relationship Id="rId10" Type="http://schemas.openxmlformats.org/officeDocument/2006/relationships/hyperlink" Target="http://www.bailii.org/cgi-bin/format.cgi?doc=/ew/cases/EWCA/Civ/2016/658.html&amp;query=(title:(+cartier+))" TargetMode="External"/><Relationship Id="rId4" Type="http://schemas.openxmlformats.org/officeDocument/2006/relationships/hyperlink" Target="http://www.bailii.org/ew/cases/EWHC/Ch/2011/1981.html" TargetMode="External"/><Relationship Id="rId9" Type="http://schemas.openxmlformats.org/officeDocument/2006/relationships/hyperlink" Target="http://www.bailii.org/ew/cases/EWHC/Ch/2003/3354.html" TargetMode="External"/><Relationship Id="rId14" Type="http://schemas.openxmlformats.org/officeDocument/2006/relationships/hyperlink" Target="http://www.judgments.fedcourt.gov.au/judgments/Judgments/fca/single/2016/2016fca1503"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10B9F71-DADD-466B-9E59-D470BB4BCDCE}"/>
</file>

<file path=customXml/itemProps2.xml><?xml version="1.0" encoding="utf-8"?>
<ds:datastoreItem xmlns:ds="http://schemas.openxmlformats.org/officeDocument/2006/customXml" ds:itemID="{C75490CB-2CFC-4A70-ACB8-98EF20960BDF}"/>
</file>

<file path=customXml/itemProps3.xml><?xml version="1.0" encoding="utf-8"?>
<ds:datastoreItem xmlns:ds="http://schemas.openxmlformats.org/officeDocument/2006/customXml" ds:itemID="{3FCE8724-5267-4753-B8AA-B8D382C3A0E9}"/>
</file>

<file path=docProps/app.xml><?xml version="1.0" encoding="utf-8"?>
<Properties xmlns="http://schemas.openxmlformats.org/officeDocument/2006/extended-properties" xmlns:vt="http://schemas.openxmlformats.org/officeDocument/2006/docPropsVTypes">
  <Template>Normal.dotm</Template>
  <TotalTime>1</TotalTime>
  <Pages>1</Pages>
  <Words>2575</Words>
  <Characters>12878</Characters>
  <Application>Microsoft Office Word</Application>
  <DocSecurity>0</DocSecurity>
  <Lines>107</Lines>
  <Paragraphs>30</Paragraphs>
  <ScaleCrop>false</ScaleCrop>
  <HeadingPairs>
    <vt:vector size="2" baseType="variant">
      <vt:variant>
        <vt:lpstr>שם</vt:lpstr>
      </vt:variant>
      <vt:variant>
        <vt:i4>1</vt:i4>
      </vt:variant>
    </vt:vector>
  </HeadingPairs>
  <TitlesOfParts>
    <vt:vector size="1" baseType="lpstr">
      <vt:lpstr/>
    </vt:vector>
  </TitlesOfParts>
  <Company>MOJ</Company>
  <LinksUpToDate>false</LinksUpToDate>
  <CharactersWithSpaces>15423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Ayelet Feldman</dc:creator>
  <cp:lastModifiedBy>כוכי שבתאי</cp:lastModifiedBy>
  <cp:revision>3</cp:revision>
  <dcterms:created xsi:type="dcterms:W3CDTF">2018-02-18T11:36:00Z</dcterms:created>
  <dcterms:modified xsi:type="dcterms:W3CDTF">2018-02-18T11:36:00Z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2065132</vt:r8>
  </property>
</Properties>
</file>