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5A5" w:rsidRPr="001915FE" w:rsidRDefault="00B255A5" w:rsidP="00B85DD9">
      <w:pPr>
        <w:spacing w:after="0" w:line="240" w:lineRule="auto"/>
        <w:ind w:left="5040" w:firstLine="720"/>
        <w:rPr>
          <w:rFonts w:ascii="David" w:hAnsi="David" w:cs="David"/>
          <w:sz w:val="24"/>
          <w:szCs w:val="24"/>
          <w:rtl/>
        </w:rPr>
      </w:pPr>
      <w:bookmarkStart w:id="0" w:name="_GoBack"/>
      <w:bookmarkEnd w:id="0"/>
      <w:r>
        <w:rPr>
          <w:rFonts w:ascii="David" w:hAnsi="David" w:cs="David" w:hint="cs"/>
          <w:sz w:val="24"/>
          <w:szCs w:val="24"/>
          <w:rtl/>
        </w:rPr>
        <w:t xml:space="preserve">        </w:t>
      </w:r>
      <w:r w:rsidR="00B85DD9">
        <w:rPr>
          <w:rFonts w:ascii="David" w:hAnsi="David" w:cs="David" w:hint="cs"/>
          <w:sz w:val="24"/>
          <w:szCs w:val="24"/>
          <w:rtl/>
        </w:rPr>
        <w:t>ד'</w:t>
      </w:r>
      <w:r>
        <w:rPr>
          <w:rFonts w:ascii="David" w:hAnsi="David" w:cs="David" w:hint="cs"/>
          <w:sz w:val="24"/>
          <w:szCs w:val="24"/>
          <w:rtl/>
        </w:rPr>
        <w:t xml:space="preserve">  ב</w:t>
      </w:r>
      <w:r w:rsidR="00B85DD9">
        <w:rPr>
          <w:rFonts w:ascii="David" w:hAnsi="David" w:cs="David" w:hint="cs"/>
          <w:sz w:val="24"/>
          <w:szCs w:val="24"/>
          <w:rtl/>
        </w:rPr>
        <w:t>אדר</w:t>
      </w:r>
      <w:r>
        <w:rPr>
          <w:rFonts w:ascii="David" w:hAnsi="David" w:cs="David" w:hint="cs"/>
          <w:sz w:val="24"/>
          <w:szCs w:val="24"/>
          <w:rtl/>
        </w:rPr>
        <w:t xml:space="preserve"> </w:t>
      </w:r>
      <w:r w:rsidRPr="001915FE">
        <w:rPr>
          <w:rFonts w:ascii="David" w:hAnsi="David" w:cs="David"/>
          <w:sz w:val="24"/>
          <w:szCs w:val="24"/>
          <w:rtl/>
        </w:rPr>
        <w:t>התשע"</w:t>
      </w:r>
      <w:r>
        <w:rPr>
          <w:rFonts w:ascii="David" w:hAnsi="David" w:cs="David" w:hint="cs"/>
          <w:sz w:val="24"/>
          <w:szCs w:val="24"/>
          <w:rtl/>
        </w:rPr>
        <w:t>ח</w:t>
      </w:r>
    </w:p>
    <w:p w:rsidR="00B255A5" w:rsidRPr="001915FE" w:rsidRDefault="00B255A5" w:rsidP="00B85DD9">
      <w:pPr>
        <w:spacing w:after="0" w:line="240" w:lineRule="auto"/>
        <w:rPr>
          <w:rFonts w:ascii="David" w:hAnsi="David" w:cs="David"/>
          <w:sz w:val="24"/>
          <w:szCs w:val="24"/>
          <w:rtl/>
        </w:rPr>
      </w:pP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Pr>
          <w:rFonts w:ascii="David" w:hAnsi="David" w:cs="David" w:hint="cs"/>
          <w:sz w:val="24"/>
          <w:szCs w:val="24"/>
          <w:rtl/>
        </w:rPr>
        <w:t xml:space="preserve">                      </w:t>
      </w:r>
      <w:r w:rsidR="00B85DD9">
        <w:rPr>
          <w:rFonts w:ascii="David" w:hAnsi="David" w:cs="David" w:hint="cs"/>
          <w:sz w:val="24"/>
          <w:szCs w:val="24"/>
          <w:rtl/>
        </w:rPr>
        <w:t>19</w:t>
      </w:r>
      <w:r>
        <w:rPr>
          <w:rFonts w:ascii="David" w:hAnsi="David" w:cs="David" w:hint="cs"/>
          <w:sz w:val="24"/>
          <w:szCs w:val="24"/>
          <w:rtl/>
        </w:rPr>
        <w:t xml:space="preserve">  בפברואר </w:t>
      </w:r>
      <w:r w:rsidRPr="001915FE">
        <w:rPr>
          <w:rFonts w:ascii="David" w:hAnsi="David" w:cs="David"/>
          <w:sz w:val="24"/>
          <w:szCs w:val="24"/>
          <w:rtl/>
        </w:rPr>
        <w:t>201</w:t>
      </w:r>
      <w:r>
        <w:rPr>
          <w:rFonts w:ascii="David" w:hAnsi="David" w:cs="David" w:hint="cs"/>
          <w:sz w:val="24"/>
          <w:szCs w:val="24"/>
          <w:rtl/>
        </w:rPr>
        <w:t>8</w:t>
      </w:r>
    </w:p>
    <w:p w:rsidR="00B255A5" w:rsidRPr="001915FE" w:rsidRDefault="00B255A5" w:rsidP="00B255A5">
      <w:pPr>
        <w:spacing w:after="0" w:line="240" w:lineRule="auto"/>
        <w:rPr>
          <w:rFonts w:ascii="David" w:hAnsi="David" w:cs="David"/>
          <w:sz w:val="24"/>
          <w:szCs w:val="24"/>
          <w:rtl/>
        </w:rPr>
      </w:pPr>
    </w:p>
    <w:p w:rsidR="00B255A5" w:rsidRPr="001915FE" w:rsidRDefault="00B255A5" w:rsidP="00B255A5">
      <w:pPr>
        <w:spacing w:after="0" w:line="240" w:lineRule="auto"/>
        <w:rPr>
          <w:rFonts w:ascii="David" w:hAnsi="David" w:cs="David"/>
          <w:sz w:val="24"/>
          <w:szCs w:val="24"/>
          <w:rtl/>
        </w:rPr>
      </w:pPr>
      <w:r w:rsidRPr="001915FE">
        <w:rPr>
          <w:rFonts w:ascii="David" w:hAnsi="David" w:cs="David"/>
          <w:sz w:val="24"/>
          <w:szCs w:val="24"/>
          <w:rtl/>
        </w:rPr>
        <w:t xml:space="preserve">לכבוד חברי ועדת חוקה, חוק ומשפט </w:t>
      </w:r>
    </w:p>
    <w:p w:rsidR="00B255A5" w:rsidRPr="001915FE" w:rsidRDefault="00B255A5" w:rsidP="00B255A5">
      <w:pPr>
        <w:spacing w:after="0" w:line="240" w:lineRule="auto"/>
        <w:rPr>
          <w:rFonts w:ascii="David" w:hAnsi="David" w:cs="David"/>
          <w:sz w:val="24"/>
          <w:szCs w:val="24"/>
          <w:rtl/>
        </w:rPr>
      </w:pPr>
      <w:r w:rsidRPr="001915FE">
        <w:rPr>
          <w:rFonts w:ascii="David" w:hAnsi="David" w:cs="David"/>
          <w:sz w:val="24"/>
          <w:szCs w:val="24"/>
          <w:rtl/>
        </w:rPr>
        <w:t>מאת: הייעוץ המשפטי לוועדה</w:t>
      </w:r>
    </w:p>
    <w:p w:rsidR="00B255A5" w:rsidRPr="001915FE" w:rsidRDefault="00B255A5" w:rsidP="00B255A5">
      <w:pPr>
        <w:rPr>
          <w:rFonts w:ascii="David" w:hAnsi="David" w:cs="David"/>
          <w:sz w:val="24"/>
          <w:szCs w:val="24"/>
          <w:rtl/>
        </w:rPr>
      </w:pPr>
    </w:p>
    <w:p w:rsidR="00B255A5" w:rsidRPr="001915FE" w:rsidRDefault="00B255A5" w:rsidP="00B255A5">
      <w:pPr>
        <w:spacing w:before="120" w:after="0" w:line="360" w:lineRule="auto"/>
        <w:jc w:val="center"/>
        <w:rPr>
          <w:rFonts w:ascii="David" w:hAnsi="David" w:cs="David"/>
          <w:b/>
          <w:bCs/>
          <w:sz w:val="24"/>
          <w:szCs w:val="24"/>
          <w:u w:val="single"/>
          <w:rtl/>
        </w:rPr>
      </w:pPr>
      <w:r w:rsidRPr="001915FE">
        <w:rPr>
          <w:rFonts w:ascii="David" w:hAnsi="David" w:cs="David"/>
          <w:b/>
          <w:bCs/>
          <w:sz w:val="24"/>
          <w:szCs w:val="24"/>
          <w:u w:val="single"/>
          <w:rtl/>
        </w:rPr>
        <w:t xml:space="preserve">מסמך רקע </w:t>
      </w:r>
      <w:r w:rsidRPr="00360CB9">
        <w:rPr>
          <w:rFonts w:ascii="David" w:hAnsi="David" w:cs="David"/>
          <w:b/>
          <w:bCs/>
          <w:sz w:val="24"/>
          <w:szCs w:val="24"/>
          <w:u w:val="single"/>
          <w:rtl/>
        </w:rPr>
        <w:t xml:space="preserve">לקראת דיון הוועדה ביום  </w:t>
      </w:r>
      <w:r>
        <w:rPr>
          <w:rFonts w:ascii="David" w:hAnsi="David" w:cs="David" w:hint="cs"/>
          <w:b/>
          <w:bCs/>
          <w:sz w:val="24"/>
          <w:szCs w:val="24"/>
          <w:u w:val="single"/>
          <w:rtl/>
        </w:rPr>
        <w:t>20.2.18</w:t>
      </w:r>
      <w:r w:rsidRPr="00360CB9">
        <w:rPr>
          <w:rFonts w:ascii="David" w:hAnsi="David" w:cs="David"/>
          <w:b/>
          <w:bCs/>
          <w:sz w:val="24"/>
          <w:szCs w:val="24"/>
          <w:u w:val="single"/>
          <w:rtl/>
        </w:rPr>
        <w:t xml:space="preserve">  בהצעות</w:t>
      </w:r>
      <w:r w:rsidRPr="001915FE">
        <w:rPr>
          <w:rFonts w:ascii="David" w:hAnsi="David" w:cs="David"/>
          <w:b/>
          <w:bCs/>
          <w:sz w:val="24"/>
          <w:szCs w:val="24"/>
          <w:u w:val="single"/>
          <w:rtl/>
        </w:rPr>
        <w:t xml:space="preserve"> החוק בנושא עבירות ההמתה </w:t>
      </w:r>
    </w:p>
    <w:p w:rsidR="00B255A5" w:rsidRPr="001915FE" w:rsidRDefault="00B255A5" w:rsidP="00B255A5">
      <w:pPr>
        <w:spacing w:after="0" w:line="240" w:lineRule="auto"/>
        <w:jc w:val="center"/>
        <w:rPr>
          <w:rFonts w:ascii="David" w:hAnsi="David" w:cs="David"/>
          <w:b/>
          <w:bCs/>
          <w:u w:val="single"/>
          <w:rtl/>
        </w:rPr>
      </w:pPr>
      <w:r w:rsidRPr="001915FE">
        <w:rPr>
          <w:rFonts w:ascii="David" w:hAnsi="David" w:cs="David"/>
          <w:b/>
          <w:bCs/>
          <w:u w:val="single"/>
          <w:rtl/>
        </w:rPr>
        <w:t>הצעת חוק העונשין (תיקון מס' 124) (עבירות המתה), התשע"ו-2015</w:t>
      </w:r>
    </w:p>
    <w:p w:rsidR="00B255A5" w:rsidRPr="001915FE" w:rsidRDefault="00B255A5" w:rsidP="00B255A5">
      <w:pPr>
        <w:spacing w:after="0" w:line="240" w:lineRule="auto"/>
        <w:jc w:val="center"/>
        <w:rPr>
          <w:rFonts w:ascii="David" w:hAnsi="David" w:cs="David"/>
          <w:b/>
          <w:bCs/>
          <w:u w:val="single"/>
          <w:rtl/>
        </w:rPr>
      </w:pPr>
      <w:r w:rsidRPr="001915FE">
        <w:rPr>
          <w:rFonts w:ascii="David" w:eastAsia="David" w:hAnsi="David" w:cs="David"/>
          <w:b/>
          <w:bCs/>
          <w:u w:val="single"/>
          <w:rtl/>
        </w:rPr>
        <w:t>הצעת חוק העונשין (תיקון - עבירת רצח), התשע"ה-2015 (פ/1499/20) של חה"כ ניסן סלומינסקי</w:t>
      </w:r>
      <w:r w:rsidRPr="001915FE">
        <w:rPr>
          <w:rFonts w:ascii="David" w:hAnsi="David" w:cs="David"/>
          <w:b/>
          <w:bCs/>
          <w:u w:val="single"/>
          <w:rtl/>
        </w:rPr>
        <w:t xml:space="preserve"> </w:t>
      </w:r>
    </w:p>
    <w:p w:rsidR="00B255A5" w:rsidRPr="001915FE" w:rsidRDefault="00B255A5" w:rsidP="00B255A5">
      <w:pPr>
        <w:spacing w:after="0" w:line="240" w:lineRule="auto"/>
        <w:jc w:val="center"/>
        <w:rPr>
          <w:rFonts w:ascii="David" w:hAnsi="David" w:cs="David"/>
          <w:b/>
          <w:bCs/>
          <w:u w:val="single"/>
        </w:rPr>
      </w:pPr>
      <w:r w:rsidRPr="001915FE">
        <w:rPr>
          <w:rFonts w:ascii="David" w:eastAsia="David" w:hAnsi="David" w:cs="David"/>
          <w:b/>
          <w:bCs/>
          <w:u w:val="single"/>
          <w:rtl/>
        </w:rPr>
        <w:t>הצעת חוק העונשין (תיקון–עבירות המתה ורשלנות), התשע"ו–2015 (פ/2321/20) של חה"כ מיקי רוזנטל</w:t>
      </w:r>
    </w:p>
    <w:p w:rsidR="00B255A5" w:rsidRPr="001915FE" w:rsidRDefault="00B255A5" w:rsidP="00B255A5">
      <w:pPr>
        <w:rPr>
          <w:rFonts w:ascii="David" w:hAnsi="David" w:cs="David"/>
          <w:sz w:val="24"/>
          <w:szCs w:val="24"/>
          <w:rtl/>
        </w:rPr>
      </w:pPr>
    </w:p>
    <w:p w:rsidR="00B255A5" w:rsidRPr="001915FE" w:rsidRDefault="00B255A5" w:rsidP="00B255A5">
      <w:pPr>
        <w:spacing w:after="120" w:line="360" w:lineRule="auto"/>
        <w:jc w:val="both"/>
        <w:rPr>
          <w:rFonts w:ascii="David" w:hAnsi="David" w:cs="David"/>
          <w:sz w:val="24"/>
          <w:szCs w:val="24"/>
          <w:rtl/>
        </w:rPr>
      </w:pPr>
      <w:r>
        <w:rPr>
          <w:rFonts w:ascii="David" w:hAnsi="David" w:cs="David" w:hint="cs"/>
          <w:sz w:val="24"/>
          <w:szCs w:val="24"/>
          <w:rtl/>
        </w:rPr>
        <w:t xml:space="preserve">בהמשך למסמכי הרקע הקודמים בהם הרחבנו על עבירת הרצח ועבירת הרצח בנסיבות מחמירות, נתייחס במסמך זה </w:t>
      </w:r>
      <w:r w:rsidRPr="001915FE">
        <w:rPr>
          <w:rFonts w:ascii="David" w:hAnsi="David" w:cs="David"/>
          <w:sz w:val="24"/>
          <w:szCs w:val="24"/>
          <w:rtl/>
        </w:rPr>
        <w:t>ל</w:t>
      </w:r>
      <w:r>
        <w:rPr>
          <w:rFonts w:ascii="David" w:hAnsi="David" w:cs="David" w:hint="cs"/>
          <w:sz w:val="24"/>
          <w:szCs w:val="24"/>
          <w:rtl/>
        </w:rPr>
        <w:t>עבירה המוצעת בדבר המתה בנסיבות של אחריות מופחתת.</w:t>
      </w:r>
    </w:p>
    <w:p w:rsidR="00B255A5" w:rsidRPr="00664688" w:rsidRDefault="00B255A5" w:rsidP="00B255A5">
      <w:pPr>
        <w:spacing w:after="120" w:line="360" w:lineRule="auto"/>
        <w:jc w:val="both"/>
        <w:rPr>
          <w:rFonts w:ascii="David" w:hAnsi="David" w:cs="David"/>
          <w:sz w:val="24"/>
          <w:szCs w:val="24"/>
          <w:rtl/>
        </w:rPr>
      </w:pPr>
      <w:r w:rsidRPr="00587BF2">
        <w:rPr>
          <w:rFonts w:ascii="David" w:hAnsi="David" w:cs="David" w:hint="cs"/>
          <w:sz w:val="24"/>
          <w:szCs w:val="24"/>
          <w:rtl/>
        </w:rPr>
        <w:t xml:space="preserve">ההוראה המוצעת עוסקת במקרים אשר מתקיימים בהם יסודות עבירת הרצח </w:t>
      </w:r>
      <w:r>
        <w:rPr>
          <w:rFonts w:ascii="David" w:hAnsi="David" w:cs="David" w:hint="cs"/>
          <w:sz w:val="24"/>
          <w:szCs w:val="24"/>
          <w:rtl/>
        </w:rPr>
        <w:t xml:space="preserve">או רצח בנסיבות </w:t>
      </w:r>
      <w:r w:rsidRPr="00664688">
        <w:rPr>
          <w:rFonts w:ascii="David" w:hAnsi="David" w:cs="David" w:hint="cs"/>
          <w:sz w:val="24"/>
          <w:szCs w:val="24"/>
          <w:rtl/>
        </w:rPr>
        <w:t xml:space="preserve">מחמירות, אך בשל נסיבות הקשורות בעושה או במעשה דרגת האשמה פחותה יותר.  </w:t>
      </w:r>
    </w:p>
    <w:p w:rsidR="00B255A5" w:rsidRDefault="00B255A5" w:rsidP="00B255A5">
      <w:pPr>
        <w:spacing w:after="120" w:line="360" w:lineRule="auto"/>
        <w:jc w:val="both"/>
        <w:rPr>
          <w:rFonts w:ascii="David" w:hAnsi="David" w:cs="David"/>
          <w:sz w:val="24"/>
          <w:szCs w:val="24"/>
          <w:rtl/>
        </w:rPr>
      </w:pPr>
      <w:r w:rsidRPr="00664688">
        <w:rPr>
          <w:rFonts w:ascii="David" w:hAnsi="David" w:cs="David" w:hint="cs"/>
          <w:sz w:val="24"/>
          <w:szCs w:val="24"/>
          <w:rtl/>
        </w:rPr>
        <w:t>בחוק העונשין, התשל"ז</w:t>
      </w:r>
      <w:r w:rsidRPr="00664688">
        <w:rPr>
          <w:rFonts w:ascii="David" w:hAnsi="David" w:cs="David" w:hint="eastAsia"/>
          <w:sz w:val="24"/>
          <w:szCs w:val="24"/>
          <w:rtl/>
        </w:rPr>
        <w:t>–</w:t>
      </w:r>
      <w:r w:rsidRPr="00664688">
        <w:rPr>
          <w:rFonts w:ascii="David" w:hAnsi="David" w:cs="David" w:hint="cs"/>
          <w:sz w:val="24"/>
          <w:szCs w:val="24"/>
          <w:rtl/>
        </w:rPr>
        <w:t xml:space="preserve">1977 (להלן </w:t>
      </w:r>
      <w:r w:rsidRPr="00664688">
        <w:rPr>
          <w:rFonts w:ascii="David" w:hAnsi="David" w:cs="David"/>
          <w:sz w:val="24"/>
          <w:szCs w:val="24"/>
          <w:rtl/>
        </w:rPr>
        <w:t>–</w:t>
      </w:r>
      <w:r w:rsidRPr="00664688">
        <w:rPr>
          <w:rFonts w:ascii="David" w:hAnsi="David" w:cs="David" w:hint="cs"/>
          <w:sz w:val="24"/>
          <w:szCs w:val="24"/>
          <w:rtl/>
        </w:rPr>
        <w:t xml:space="preserve"> החוק או חוק העונשין), </w:t>
      </w:r>
      <w:r>
        <w:rPr>
          <w:rFonts w:ascii="David" w:hAnsi="David" w:cs="David" w:hint="cs"/>
          <w:sz w:val="24"/>
          <w:szCs w:val="24"/>
          <w:rtl/>
        </w:rPr>
        <w:t xml:space="preserve">קיימת כיום </w:t>
      </w:r>
      <w:r w:rsidRPr="00664688">
        <w:rPr>
          <w:rFonts w:ascii="David" w:hAnsi="David" w:cs="David" w:hint="cs"/>
          <w:sz w:val="24"/>
          <w:szCs w:val="24"/>
          <w:rtl/>
        </w:rPr>
        <w:t>הוראה בדבר עונש מופחת</w:t>
      </w:r>
      <w:r>
        <w:rPr>
          <w:rFonts w:ascii="David" w:hAnsi="David" w:cs="David" w:hint="cs"/>
          <w:sz w:val="24"/>
          <w:szCs w:val="24"/>
          <w:rtl/>
        </w:rPr>
        <w:t>, המאפשר בעת התקיימותן של הנסיבות המנויות בסעיף להשית עונש קל ממאסר עולם</w:t>
      </w:r>
      <w:r w:rsidRPr="00664688">
        <w:rPr>
          <w:rFonts w:ascii="David" w:hAnsi="David" w:cs="David" w:hint="cs"/>
          <w:sz w:val="24"/>
          <w:szCs w:val="24"/>
          <w:rtl/>
        </w:rPr>
        <w:t xml:space="preserve">. </w:t>
      </w:r>
      <w:r>
        <w:rPr>
          <w:rFonts w:ascii="David" w:hAnsi="David" w:cs="David" w:hint="cs"/>
          <w:sz w:val="24"/>
          <w:szCs w:val="24"/>
          <w:rtl/>
        </w:rPr>
        <w:t xml:space="preserve">הצעת החוק מבקשת לקבוע </w:t>
      </w:r>
      <w:r w:rsidRPr="00664688">
        <w:rPr>
          <w:rFonts w:ascii="David" w:hAnsi="David" w:cs="David" w:hint="cs"/>
          <w:sz w:val="24"/>
          <w:szCs w:val="24"/>
          <w:rtl/>
        </w:rPr>
        <w:t xml:space="preserve">עבירה </w:t>
      </w:r>
      <w:r>
        <w:rPr>
          <w:rFonts w:ascii="David" w:hAnsi="David" w:cs="David" w:hint="cs"/>
          <w:sz w:val="24"/>
          <w:szCs w:val="24"/>
          <w:rtl/>
        </w:rPr>
        <w:t xml:space="preserve">לפיה תיוחס אחריות מופחתת, </w:t>
      </w:r>
      <w:r w:rsidRPr="00664688">
        <w:rPr>
          <w:rFonts w:ascii="David" w:hAnsi="David" w:cs="David" w:hint="cs"/>
          <w:sz w:val="24"/>
          <w:szCs w:val="24"/>
          <w:rtl/>
        </w:rPr>
        <w:t>שלצדה עונש מופחת, ולכלול בה נסיבות דומות לנסיבות הקיימות</w:t>
      </w:r>
      <w:r>
        <w:rPr>
          <w:rFonts w:ascii="David" w:hAnsi="David" w:cs="David" w:hint="cs"/>
          <w:sz w:val="24"/>
          <w:szCs w:val="24"/>
          <w:rtl/>
        </w:rPr>
        <w:t>,</w:t>
      </w:r>
      <w:r w:rsidRPr="00664688">
        <w:rPr>
          <w:rFonts w:ascii="David" w:hAnsi="David" w:cs="David" w:hint="cs"/>
          <w:sz w:val="24"/>
          <w:szCs w:val="24"/>
          <w:rtl/>
        </w:rPr>
        <w:t xml:space="preserve"> בתוספת נסיבה של קנטור במצבים מסוימים, כפי שיפורט להלן.</w:t>
      </w:r>
    </w:p>
    <w:p w:rsidR="00B255A5" w:rsidRPr="001915FE" w:rsidRDefault="00B255A5" w:rsidP="00B255A5">
      <w:pPr>
        <w:rPr>
          <w:rFonts w:ascii="David" w:hAnsi="David" w:cs="David"/>
          <w:b/>
          <w:bCs/>
          <w:sz w:val="24"/>
          <w:szCs w:val="24"/>
          <w:rtl/>
        </w:rPr>
      </w:pPr>
      <w:r w:rsidRPr="001915FE">
        <w:rPr>
          <w:rFonts w:ascii="David" w:hAnsi="David" w:cs="David"/>
          <w:b/>
          <w:bCs/>
          <w:sz w:val="24"/>
          <w:szCs w:val="24"/>
          <w:rtl/>
        </w:rPr>
        <w:t>רקע</w:t>
      </w:r>
    </w:p>
    <w:p w:rsidR="00B255A5" w:rsidRPr="001915FE" w:rsidRDefault="00B255A5" w:rsidP="00B255A5">
      <w:pPr>
        <w:spacing w:before="120" w:after="0" w:line="360" w:lineRule="auto"/>
        <w:jc w:val="both"/>
        <w:rPr>
          <w:rFonts w:ascii="David" w:hAnsi="David" w:cs="David"/>
          <w:sz w:val="24"/>
          <w:szCs w:val="24"/>
          <w:rtl/>
        </w:rPr>
      </w:pPr>
      <w:r w:rsidRPr="001915FE">
        <w:rPr>
          <w:rFonts w:ascii="David" w:hAnsi="David" w:cs="David"/>
          <w:sz w:val="24"/>
          <w:szCs w:val="24"/>
          <w:rtl/>
        </w:rPr>
        <w:t>סעיף 300</w:t>
      </w:r>
      <w:r>
        <w:rPr>
          <w:rFonts w:ascii="David" w:hAnsi="David" w:cs="David" w:hint="cs"/>
          <w:sz w:val="24"/>
          <w:szCs w:val="24"/>
          <w:rtl/>
        </w:rPr>
        <w:t>א</w:t>
      </w:r>
      <w:r w:rsidRPr="001915FE">
        <w:rPr>
          <w:rFonts w:ascii="David" w:hAnsi="David" w:cs="David"/>
          <w:sz w:val="24"/>
          <w:szCs w:val="24"/>
          <w:rtl/>
        </w:rPr>
        <w:t xml:space="preserve"> </w:t>
      </w:r>
      <w:r>
        <w:rPr>
          <w:rFonts w:ascii="David" w:hAnsi="David" w:cs="David" w:hint="cs"/>
          <w:sz w:val="24"/>
          <w:szCs w:val="24"/>
          <w:rtl/>
        </w:rPr>
        <w:t xml:space="preserve">לחוק העונשין, התשל"ז-1977 (להלן </w:t>
      </w:r>
      <w:r>
        <w:rPr>
          <w:rFonts w:ascii="David" w:hAnsi="David" w:cs="David"/>
          <w:sz w:val="24"/>
          <w:szCs w:val="24"/>
          <w:rtl/>
        </w:rPr>
        <w:t>–</w:t>
      </w:r>
      <w:r>
        <w:rPr>
          <w:rFonts w:ascii="David" w:hAnsi="David" w:cs="David" w:hint="cs"/>
          <w:sz w:val="24"/>
          <w:szCs w:val="24"/>
          <w:rtl/>
        </w:rPr>
        <w:t xml:space="preserve"> "חוק העונשין" או "החוק"), קובע כאמור הוראה בדבר עונש מופחת, לפיו אם התקיימה אחת הנסיבות המפורטות בסעיף, ניתן להטיל עונש קל מ</w:t>
      </w:r>
      <w:r w:rsidRPr="001915FE">
        <w:rPr>
          <w:rFonts w:ascii="David" w:hAnsi="David" w:cs="David"/>
          <w:sz w:val="24"/>
          <w:szCs w:val="24"/>
          <w:rtl/>
        </w:rPr>
        <w:t xml:space="preserve">מאסר </w:t>
      </w:r>
      <w:r w:rsidRPr="00F81594">
        <w:rPr>
          <w:rFonts w:ascii="David" w:hAnsi="David" w:cs="David"/>
          <w:sz w:val="24"/>
          <w:szCs w:val="24"/>
          <w:rtl/>
        </w:rPr>
        <w:t>עולם חובה</w:t>
      </w:r>
      <w:r w:rsidRPr="001915FE">
        <w:rPr>
          <w:rFonts w:ascii="David" w:hAnsi="David" w:cs="David"/>
          <w:sz w:val="24"/>
          <w:szCs w:val="24"/>
          <w:rtl/>
        </w:rPr>
        <w:t>, כדלקמן:</w:t>
      </w:r>
    </w:p>
    <w:tbl>
      <w:tblPr>
        <w:tblStyle w:val="a3"/>
        <w:bidiVisual/>
        <w:tblW w:w="0" w:type="auto"/>
        <w:tblLook w:val="04A0" w:firstRow="1" w:lastRow="0" w:firstColumn="1" w:lastColumn="0" w:noHBand="0" w:noVBand="1"/>
      </w:tblPr>
      <w:tblGrid>
        <w:gridCol w:w="8296"/>
      </w:tblGrid>
      <w:tr w:rsidR="00B255A5" w:rsidRPr="001915FE" w:rsidTr="0088588B">
        <w:tc>
          <w:tcPr>
            <w:tcW w:w="8296" w:type="dxa"/>
          </w:tcPr>
          <w:p w:rsidR="00B255A5" w:rsidRPr="00F81594" w:rsidRDefault="00B255A5" w:rsidP="0088588B">
            <w:pPr>
              <w:pStyle w:val="P00"/>
              <w:spacing w:before="72"/>
              <w:ind w:left="0" w:right="1134"/>
              <w:rPr>
                <w:rFonts w:ascii="David" w:eastAsiaTheme="minorHAnsi" w:hAnsi="David" w:cs="David"/>
                <w:noProof w:val="0"/>
                <w:sz w:val="24"/>
                <w:szCs w:val="24"/>
                <w:rtl/>
                <w:lang w:eastAsia="en-US"/>
              </w:rPr>
            </w:pPr>
            <w:r>
              <w:rPr>
                <w:rFonts w:ascii="David" w:eastAsiaTheme="minorHAnsi" w:hAnsi="David" w:cs="David" w:hint="cs"/>
                <w:b/>
                <w:bCs/>
                <w:noProof w:val="0"/>
                <w:sz w:val="24"/>
                <w:szCs w:val="24"/>
                <w:rtl/>
                <w:lang w:eastAsia="en-US"/>
              </w:rPr>
              <w:t>"</w:t>
            </w:r>
            <w:r w:rsidRPr="00F81594">
              <w:rPr>
                <w:rFonts w:ascii="David" w:eastAsiaTheme="minorHAnsi" w:hAnsi="David" w:cs="David"/>
                <w:b/>
                <w:bCs/>
                <w:noProof w:val="0"/>
                <w:sz w:val="24"/>
                <w:szCs w:val="24"/>
                <w:rtl/>
                <w:lang w:eastAsia="en-US"/>
              </w:rPr>
              <w:t>300א.</w:t>
            </w:r>
            <w:r w:rsidRPr="00F81594">
              <w:rPr>
                <w:rFonts w:ascii="David" w:eastAsiaTheme="minorHAnsi" w:hAnsi="David" w:cs="David"/>
                <w:noProof w:val="0"/>
                <w:sz w:val="24"/>
                <w:szCs w:val="24"/>
                <w:rtl/>
                <w:lang w:eastAsia="en-US"/>
              </w:rPr>
              <w:tab/>
            </w:r>
            <w:r w:rsidRPr="00F81594">
              <w:rPr>
                <w:rFonts w:ascii="David" w:eastAsiaTheme="minorHAnsi" w:hAnsi="David" w:cs="David" w:hint="cs"/>
                <w:b/>
                <w:bCs/>
                <w:noProof w:val="0"/>
                <w:sz w:val="24"/>
                <w:szCs w:val="24"/>
                <w:rtl/>
                <w:lang w:eastAsia="en-US"/>
              </w:rPr>
              <w:t>עונש מופחת</w:t>
            </w:r>
          </w:p>
          <w:p w:rsidR="00B255A5" w:rsidRPr="00F81594" w:rsidRDefault="00B255A5" w:rsidP="0088588B">
            <w:pPr>
              <w:pStyle w:val="P00"/>
              <w:spacing w:before="72"/>
              <w:ind w:left="0" w:right="1134"/>
              <w:rPr>
                <w:rFonts w:ascii="David" w:eastAsiaTheme="minorHAnsi" w:hAnsi="David" w:cs="David"/>
                <w:noProof w:val="0"/>
                <w:sz w:val="24"/>
                <w:szCs w:val="24"/>
                <w:rtl/>
                <w:lang w:eastAsia="en-US"/>
              </w:rPr>
            </w:pPr>
            <w:r w:rsidRPr="00F81594">
              <w:rPr>
                <w:rFonts w:ascii="David" w:eastAsiaTheme="minorHAnsi" w:hAnsi="David" w:cs="David"/>
                <w:noProof w:val="0"/>
                <w:sz w:val="24"/>
                <w:szCs w:val="24"/>
                <w:rtl/>
                <w:lang w:eastAsia="en-US"/>
              </w:rPr>
              <w:t>ע</w:t>
            </w:r>
            <w:r w:rsidRPr="00F81594">
              <w:rPr>
                <w:rFonts w:ascii="David" w:eastAsiaTheme="minorHAnsi" w:hAnsi="David" w:cs="David" w:hint="cs"/>
                <w:noProof w:val="0"/>
                <w:sz w:val="24"/>
                <w:szCs w:val="24"/>
                <w:rtl/>
                <w:lang w:eastAsia="en-US"/>
              </w:rPr>
              <w:t xml:space="preserve">ל </w:t>
            </w:r>
            <w:r w:rsidRPr="00F81594">
              <w:rPr>
                <w:rFonts w:ascii="David" w:eastAsiaTheme="minorHAnsi" w:hAnsi="David" w:cs="David"/>
                <w:noProof w:val="0"/>
                <w:sz w:val="24"/>
                <w:szCs w:val="24"/>
                <w:rtl/>
                <w:lang w:eastAsia="en-US"/>
              </w:rPr>
              <w:t>אף</w:t>
            </w:r>
            <w:r w:rsidRPr="00F81594">
              <w:rPr>
                <w:rFonts w:ascii="David" w:eastAsiaTheme="minorHAnsi" w:hAnsi="David" w:cs="David" w:hint="cs"/>
                <w:noProof w:val="0"/>
                <w:sz w:val="24"/>
                <w:szCs w:val="24"/>
                <w:rtl/>
                <w:lang w:eastAsia="en-US"/>
              </w:rPr>
              <w:t xml:space="preserve"> הא</w:t>
            </w:r>
            <w:r w:rsidRPr="00F81594">
              <w:rPr>
                <w:rFonts w:ascii="David" w:eastAsiaTheme="minorHAnsi" w:hAnsi="David" w:cs="David"/>
                <w:noProof w:val="0"/>
                <w:sz w:val="24"/>
                <w:szCs w:val="24"/>
                <w:rtl/>
                <w:lang w:eastAsia="en-US"/>
              </w:rPr>
              <w:t>מו</w:t>
            </w:r>
            <w:r w:rsidRPr="00F81594">
              <w:rPr>
                <w:rFonts w:ascii="David" w:eastAsiaTheme="minorHAnsi" w:hAnsi="David" w:cs="David" w:hint="cs"/>
                <w:noProof w:val="0"/>
                <w:sz w:val="24"/>
                <w:szCs w:val="24"/>
                <w:rtl/>
                <w:lang w:eastAsia="en-US"/>
              </w:rPr>
              <w:t xml:space="preserve">ר </w:t>
            </w:r>
            <w:r w:rsidRPr="00F81594">
              <w:rPr>
                <w:rFonts w:ascii="David" w:eastAsiaTheme="minorHAnsi" w:hAnsi="David" w:cs="David"/>
                <w:noProof w:val="0"/>
                <w:sz w:val="24"/>
                <w:szCs w:val="24"/>
                <w:rtl/>
                <w:lang w:eastAsia="en-US"/>
              </w:rPr>
              <w:t>בס</w:t>
            </w:r>
            <w:r w:rsidRPr="00F81594">
              <w:rPr>
                <w:rFonts w:ascii="David" w:eastAsiaTheme="minorHAnsi" w:hAnsi="David" w:cs="David" w:hint="cs"/>
                <w:noProof w:val="0"/>
                <w:sz w:val="24"/>
                <w:szCs w:val="24"/>
                <w:rtl/>
                <w:lang w:eastAsia="en-US"/>
              </w:rPr>
              <w:t>עיף 300, ניתן להטיל עונש קל מהקבוע בו, אם נעברה העבירה באחד מאלה:</w:t>
            </w:r>
          </w:p>
          <w:p w:rsidR="00B255A5" w:rsidRPr="00F81594" w:rsidRDefault="00B255A5" w:rsidP="0088588B">
            <w:pPr>
              <w:pStyle w:val="P11"/>
              <w:spacing w:before="72"/>
              <w:ind w:left="624" w:right="1134"/>
              <w:rPr>
                <w:rFonts w:ascii="David" w:eastAsiaTheme="minorHAnsi" w:hAnsi="David" w:cs="David"/>
                <w:noProof w:val="0"/>
                <w:sz w:val="24"/>
                <w:szCs w:val="24"/>
                <w:rtl/>
                <w:lang w:eastAsia="en-US"/>
              </w:rPr>
            </w:pPr>
            <w:r w:rsidRPr="00F81594">
              <w:rPr>
                <w:rFonts w:ascii="David" w:eastAsiaTheme="minorHAnsi" w:hAnsi="David" w:cs="David"/>
                <w:noProof w:val="0"/>
                <w:sz w:val="24"/>
                <w:szCs w:val="24"/>
                <w:rtl/>
                <w:lang w:eastAsia="en-US"/>
              </w:rPr>
              <w:t>(א</w:t>
            </w:r>
            <w:r w:rsidRPr="00F81594">
              <w:rPr>
                <w:rFonts w:ascii="David" w:eastAsiaTheme="minorHAnsi" w:hAnsi="David" w:cs="David" w:hint="cs"/>
                <w:noProof w:val="0"/>
                <w:sz w:val="24"/>
                <w:szCs w:val="24"/>
                <w:rtl/>
                <w:lang w:eastAsia="en-US"/>
              </w:rPr>
              <w:t>)</w:t>
            </w:r>
            <w:r w:rsidRPr="00F81594">
              <w:rPr>
                <w:rFonts w:ascii="David" w:eastAsiaTheme="minorHAnsi" w:hAnsi="David" w:cs="David"/>
                <w:noProof w:val="0"/>
                <w:sz w:val="24"/>
                <w:szCs w:val="24"/>
                <w:rtl/>
                <w:lang w:eastAsia="en-US"/>
              </w:rPr>
              <w:tab/>
              <w:t>ב</w:t>
            </w:r>
            <w:r w:rsidRPr="00F81594">
              <w:rPr>
                <w:rFonts w:ascii="David" w:eastAsiaTheme="minorHAnsi" w:hAnsi="David" w:cs="David" w:hint="cs"/>
                <w:noProof w:val="0"/>
                <w:sz w:val="24"/>
                <w:szCs w:val="24"/>
                <w:rtl/>
                <w:lang w:eastAsia="en-US"/>
              </w:rPr>
              <w:t>מצ</w:t>
            </w:r>
            <w:r w:rsidRPr="00F81594">
              <w:rPr>
                <w:rFonts w:ascii="David" w:eastAsiaTheme="minorHAnsi" w:hAnsi="David" w:cs="David"/>
                <w:noProof w:val="0"/>
                <w:sz w:val="24"/>
                <w:szCs w:val="24"/>
                <w:rtl/>
                <w:lang w:eastAsia="en-US"/>
              </w:rPr>
              <w:t xml:space="preserve">ב </w:t>
            </w:r>
            <w:r w:rsidRPr="00F81594">
              <w:rPr>
                <w:rFonts w:ascii="David" w:eastAsiaTheme="minorHAnsi" w:hAnsi="David" w:cs="David" w:hint="cs"/>
                <w:noProof w:val="0"/>
                <w:sz w:val="24"/>
                <w:szCs w:val="24"/>
                <w:rtl/>
                <w:lang w:eastAsia="en-US"/>
              </w:rPr>
              <w:t>שבו, בשל הפרעה נפשית חמ</w:t>
            </w:r>
            <w:r w:rsidRPr="00F81594">
              <w:rPr>
                <w:rFonts w:ascii="David" w:eastAsiaTheme="minorHAnsi" w:hAnsi="David" w:cs="David"/>
                <w:noProof w:val="0"/>
                <w:sz w:val="24"/>
                <w:szCs w:val="24"/>
                <w:rtl/>
                <w:lang w:eastAsia="en-US"/>
              </w:rPr>
              <w:t>ו</w:t>
            </w:r>
            <w:r w:rsidRPr="00F81594">
              <w:rPr>
                <w:rFonts w:ascii="David" w:eastAsiaTheme="minorHAnsi" w:hAnsi="David" w:cs="David" w:hint="cs"/>
                <w:noProof w:val="0"/>
                <w:sz w:val="24"/>
                <w:szCs w:val="24"/>
                <w:rtl/>
                <w:lang w:eastAsia="en-US"/>
              </w:rPr>
              <w:t xml:space="preserve">רה </w:t>
            </w:r>
            <w:r w:rsidRPr="00F81594">
              <w:rPr>
                <w:rFonts w:ascii="David" w:eastAsiaTheme="minorHAnsi" w:hAnsi="David" w:cs="David"/>
                <w:noProof w:val="0"/>
                <w:sz w:val="24"/>
                <w:szCs w:val="24"/>
                <w:rtl/>
                <w:lang w:eastAsia="en-US"/>
              </w:rPr>
              <w:t>א</w:t>
            </w:r>
            <w:r w:rsidRPr="00F81594">
              <w:rPr>
                <w:rFonts w:ascii="David" w:eastAsiaTheme="minorHAnsi" w:hAnsi="David" w:cs="David" w:hint="cs"/>
                <w:noProof w:val="0"/>
                <w:sz w:val="24"/>
                <w:szCs w:val="24"/>
                <w:rtl/>
                <w:lang w:eastAsia="en-US"/>
              </w:rPr>
              <w:t>ו בשל ליקוי</w:t>
            </w:r>
            <w:r w:rsidRPr="00F81594">
              <w:rPr>
                <w:rFonts w:ascii="David" w:eastAsiaTheme="minorHAnsi" w:hAnsi="David" w:cs="David"/>
                <w:noProof w:val="0"/>
                <w:sz w:val="24"/>
                <w:szCs w:val="24"/>
                <w:rtl/>
                <w:lang w:eastAsia="en-US"/>
              </w:rPr>
              <w:t xml:space="preserve"> ב</w:t>
            </w:r>
            <w:r w:rsidRPr="00F81594">
              <w:rPr>
                <w:rFonts w:ascii="David" w:eastAsiaTheme="minorHAnsi" w:hAnsi="David" w:cs="David" w:hint="cs"/>
                <w:noProof w:val="0"/>
                <w:sz w:val="24"/>
                <w:szCs w:val="24"/>
                <w:rtl/>
                <w:lang w:eastAsia="en-US"/>
              </w:rPr>
              <w:t>כושרו השכלי, הוגבלה יכולתו של הנאשם במידה ניכרת, אך לא עד כדי חוסר יכולת של</w:t>
            </w:r>
            <w:r w:rsidRPr="00F81594">
              <w:rPr>
                <w:rFonts w:ascii="David" w:eastAsiaTheme="minorHAnsi" w:hAnsi="David" w:cs="David"/>
                <w:noProof w:val="0"/>
                <w:sz w:val="24"/>
                <w:szCs w:val="24"/>
                <w:rtl/>
                <w:lang w:eastAsia="en-US"/>
              </w:rPr>
              <w:t xml:space="preserve"> </w:t>
            </w:r>
            <w:r w:rsidRPr="00F81594">
              <w:rPr>
                <w:rFonts w:ascii="David" w:eastAsiaTheme="minorHAnsi" w:hAnsi="David" w:cs="David" w:hint="cs"/>
                <w:noProof w:val="0"/>
                <w:sz w:val="24"/>
                <w:szCs w:val="24"/>
                <w:rtl/>
                <w:lang w:eastAsia="en-US"/>
              </w:rPr>
              <w:t xml:space="preserve">ממש כאמור בסעיף 34ח </w:t>
            </w:r>
            <w:r w:rsidRPr="00F81594">
              <w:rPr>
                <w:rFonts w:ascii="David" w:eastAsiaTheme="minorHAnsi" w:hAnsi="David" w:cs="David"/>
                <w:noProof w:val="0"/>
                <w:sz w:val="24"/>
                <w:szCs w:val="24"/>
                <w:rtl/>
                <w:lang w:eastAsia="en-US"/>
              </w:rPr>
              <w:t>–</w:t>
            </w:r>
          </w:p>
          <w:p w:rsidR="00B255A5" w:rsidRPr="00F81594" w:rsidRDefault="00B255A5" w:rsidP="0088588B">
            <w:pPr>
              <w:pStyle w:val="P22"/>
              <w:spacing w:before="72"/>
              <w:ind w:left="1021" w:right="1134"/>
              <w:rPr>
                <w:rFonts w:ascii="David" w:eastAsiaTheme="minorHAnsi" w:hAnsi="David" w:cs="David"/>
                <w:noProof w:val="0"/>
                <w:sz w:val="24"/>
                <w:szCs w:val="24"/>
                <w:rtl/>
                <w:lang w:eastAsia="en-US"/>
              </w:rPr>
            </w:pPr>
            <w:r w:rsidRPr="00F81594">
              <w:rPr>
                <w:rFonts w:ascii="David" w:eastAsiaTheme="minorHAnsi" w:hAnsi="David" w:cs="David"/>
                <w:noProof w:val="0"/>
                <w:sz w:val="24"/>
                <w:szCs w:val="24"/>
                <w:rtl/>
                <w:lang w:eastAsia="en-US"/>
              </w:rPr>
              <w:t>(1)</w:t>
            </w:r>
            <w:r w:rsidRPr="00F81594">
              <w:rPr>
                <w:rFonts w:ascii="David" w:eastAsiaTheme="minorHAnsi" w:hAnsi="David" w:cs="David"/>
                <w:noProof w:val="0"/>
                <w:sz w:val="24"/>
                <w:szCs w:val="24"/>
                <w:rtl/>
                <w:lang w:eastAsia="en-US"/>
              </w:rPr>
              <w:tab/>
              <w:t>ל</w:t>
            </w:r>
            <w:r w:rsidRPr="00F81594">
              <w:rPr>
                <w:rFonts w:ascii="David" w:eastAsiaTheme="minorHAnsi" w:hAnsi="David" w:cs="David" w:hint="cs"/>
                <w:noProof w:val="0"/>
                <w:sz w:val="24"/>
                <w:szCs w:val="24"/>
                <w:rtl/>
                <w:lang w:eastAsia="en-US"/>
              </w:rPr>
              <w:t>הב</w:t>
            </w:r>
            <w:r w:rsidRPr="00F81594">
              <w:rPr>
                <w:rFonts w:ascii="David" w:eastAsiaTheme="minorHAnsi" w:hAnsi="David" w:cs="David"/>
                <w:noProof w:val="0"/>
                <w:sz w:val="24"/>
                <w:szCs w:val="24"/>
                <w:rtl/>
                <w:lang w:eastAsia="en-US"/>
              </w:rPr>
              <w:t>ין</w:t>
            </w:r>
            <w:r w:rsidRPr="00F81594">
              <w:rPr>
                <w:rFonts w:ascii="David" w:eastAsiaTheme="minorHAnsi" w:hAnsi="David" w:cs="David" w:hint="cs"/>
                <w:noProof w:val="0"/>
                <w:sz w:val="24"/>
                <w:szCs w:val="24"/>
                <w:rtl/>
                <w:lang w:eastAsia="en-US"/>
              </w:rPr>
              <w:t xml:space="preserve"> את אשר הוא</w:t>
            </w:r>
            <w:r w:rsidRPr="00F81594">
              <w:rPr>
                <w:rFonts w:ascii="David" w:eastAsiaTheme="minorHAnsi" w:hAnsi="David" w:cs="David"/>
                <w:noProof w:val="0"/>
                <w:sz w:val="24"/>
                <w:szCs w:val="24"/>
                <w:rtl/>
                <w:lang w:eastAsia="en-US"/>
              </w:rPr>
              <w:t xml:space="preserve"> ע</w:t>
            </w:r>
            <w:r w:rsidRPr="00F81594">
              <w:rPr>
                <w:rFonts w:ascii="David" w:eastAsiaTheme="minorHAnsi" w:hAnsi="David" w:cs="David" w:hint="cs"/>
                <w:noProof w:val="0"/>
                <w:sz w:val="24"/>
                <w:szCs w:val="24"/>
                <w:rtl/>
                <w:lang w:eastAsia="en-US"/>
              </w:rPr>
              <w:t>ו</w:t>
            </w:r>
            <w:r w:rsidRPr="00F81594">
              <w:rPr>
                <w:rFonts w:ascii="David" w:eastAsiaTheme="minorHAnsi" w:hAnsi="David" w:cs="David"/>
                <w:noProof w:val="0"/>
                <w:sz w:val="24"/>
                <w:szCs w:val="24"/>
                <w:rtl/>
                <w:lang w:eastAsia="en-US"/>
              </w:rPr>
              <w:t>שה</w:t>
            </w:r>
            <w:r w:rsidRPr="00F81594">
              <w:rPr>
                <w:rFonts w:ascii="David" w:eastAsiaTheme="minorHAnsi" w:hAnsi="David" w:cs="David" w:hint="cs"/>
                <w:noProof w:val="0"/>
                <w:sz w:val="24"/>
                <w:szCs w:val="24"/>
                <w:rtl/>
                <w:lang w:eastAsia="en-US"/>
              </w:rPr>
              <w:t xml:space="preserve"> או את הפסו</w:t>
            </w:r>
            <w:r w:rsidRPr="00F81594">
              <w:rPr>
                <w:rFonts w:ascii="David" w:eastAsiaTheme="minorHAnsi" w:hAnsi="David" w:cs="David"/>
                <w:noProof w:val="0"/>
                <w:sz w:val="24"/>
                <w:szCs w:val="24"/>
                <w:rtl/>
                <w:lang w:eastAsia="en-US"/>
              </w:rPr>
              <w:t xml:space="preserve">ל </w:t>
            </w:r>
            <w:r w:rsidRPr="00F81594">
              <w:rPr>
                <w:rFonts w:ascii="David" w:eastAsiaTheme="minorHAnsi" w:hAnsi="David" w:cs="David" w:hint="cs"/>
                <w:noProof w:val="0"/>
                <w:sz w:val="24"/>
                <w:szCs w:val="24"/>
                <w:rtl/>
                <w:lang w:eastAsia="en-US"/>
              </w:rPr>
              <w:t>שב</w:t>
            </w:r>
            <w:r w:rsidRPr="00F81594">
              <w:rPr>
                <w:rFonts w:ascii="David" w:eastAsiaTheme="minorHAnsi" w:hAnsi="David" w:cs="David"/>
                <w:noProof w:val="0"/>
                <w:sz w:val="24"/>
                <w:szCs w:val="24"/>
                <w:rtl/>
                <w:lang w:eastAsia="en-US"/>
              </w:rPr>
              <w:t>מע</w:t>
            </w:r>
            <w:r w:rsidRPr="00F81594">
              <w:rPr>
                <w:rFonts w:ascii="David" w:eastAsiaTheme="minorHAnsi" w:hAnsi="David" w:cs="David" w:hint="cs"/>
                <w:noProof w:val="0"/>
                <w:sz w:val="24"/>
                <w:szCs w:val="24"/>
                <w:rtl/>
                <w:lang w:eastAsia="en-US"/>
              </w:rPr>
              <w:t>שהו; או</w:t>
            </w:r>
          </w:p>
          <w:p w:rsidR="00B255A5" w:rsidRPr="00F81594" w:rsidRDefault="00B255A5" w:rsidP="0088588B">
            <w:pPr>
              <w:pStyle w:val="P22"/>
              <w:spacing w:before="72"/>
              <w:ind w:left="1021" w:right="1134"/>
              <w:rPr>
                <w:rFonts w:ascii="David" w:eastAsiaTheme="minorHAnsi" w:hAnsi="David" w:cs="David"/>
                <w:noProof w:val="0"/>
                <w:sz w:val="24"/>
                <w:szCs w:val="24"/>
                <w:rtl/>
                <w:lang w:eastAsia="en-US"/>
              </w:rPr>
            </w:pPr>
            <w:r w:rsidRPr="00F81594">
              <w:rPr>
                <w:rFonts w:ascii="David" w:eastAsiaTheme="minorHAnsi" w:hAnsi="David" w:cs="David" w:hint="cs"/>
                <w:noProof w:val="0"/>
                <w:sz w:val="24"/>
                <w:szCs w:val="24"/>
                <w:rtl/>
                <w:lang w:eastAsia="en-US"/>
              </w:rPr>
              <w:t>(2)</w:t>
            </w:r>
            <w:r w:rsidRPr="00F81594">
              <w:rPr>
                <w:rFonts w:ascii="David" w:eastAsiaTheme="minorHAnsi" w:hAnsi="David" w:cs="David"/>
                <w:noProof w:val="0"/>
                <w:sz w:val="24"/>
                <w:szCs w:val="24"/>
                <w:rtl/>
                <w:lang w:eastAsia="en-US"/>
              </w:rPr>
              <w:tab/>
              <w:t>ל</w:t>
            </w:r>
            <w:r w:rsidRPr="00F81594">
              <w:rPr>
                <w:rFonts w:ascii="David" w:eastAsiaTheme="minorHAnsi" w:hAnsi="David" w:cs="David" w:hint="cs"/>
                <w:noProof w:val="0"/>
                <w:sz w:val="24"/>
                <w:szCs w:val="24"/>
                <w:rtl/>
                <w:lang w:eastAsia="en-US"/>
              </w:rPr>
              <w:t>הי</w:t>
            </w:r>
            <w:r w:rsidRPr="00F81594">
              <w:rPr>
                <w:rFonts w:ascii="David" w:eastAsiaTheme="minorHAnsi" w:hAnsi="David" w:cs="David"/>
                <w:noProof w:val="0"/>
                <w:sz w:val="24"/>
                <w:szCs w:val="24"/>
                <w:rtl/>
                <w:lang w:eastAsia="en-US"/>
              </w:rPr>
              <w:t>מנ</w:t>
            </w:r>
            <w:r w:rsidRPr="00F81594">
              <w:rPr>
                <w:rFonts w:ascii="David" w:eastAsiaTheme="minorHAnsi" w:hAnsi="David" w:cs="David" w:hint="cs"/>
                <w:noProof w:val="0"/>
                <w:sz w:val="24"/>
                <w:szCs w:val="24"/>
                <w:rtl/>
                <w:lang w:eastAsia="en-US"/>
              </w:rPr>
              <w:t>ע מעשיית המעשה.</w:t>
            </w:r>
          </w:p>
          <w:p w:rsidR="00B255A5" w:rsidRPr="00F81594" w:rsidRDefault="00B255A5" w:rsidP="0088588B">
            <w:pPr>
              <w:pStyle w:val="P11"/>
              <w:spacing w:before="72"/>
              <w:ind w:left="624" w:right="1134"/>
              <w:rPr>
                <w:rFonts w:ascii="David" w:eastAsiaTheme="minorHAnsi" w:hAnsi="David" w:cs="David"/>
                <w:noProof w:val="0"/>
                <w:sz w:val="24"/>
                <w:szCs w:val="24"/>
                <w:rtl/>
                <w:lang w:eastAsia="en-US"/>
              </w:rPr>
            </w:pPr>
            <w:r w:rsidRPr="00F81594">
              <w:rPr>
                <w:rFonts w:ascii="David" w:eastAsiaTheme="minorHAnsi" w:hAnsi="David" w:cs="David"/>
                <w:noProof w:val="0"/>
                <w:sz w:val="24"/>
                <w:szCs w:val="24"/>
                <w:rtl/>
                <w:lang w:eastAsia="en-US"/>
              </w:rPr>
              <w:t>(ב</w:t>
            </w:r>
            <w:r w:rsidRPr="00F81594">
              <w:rPr>
                <w:rFonts w:ascii="David" w:eastAsiaTheme="minorHAnsi" w:hAnsi="David" w:cs="David" w:hint="cs"/>
                <w:noProof w:val="0"/>
                <w:sz w:val="24"/>
                <w:szCs w:val="24"/>
                <w:rtl/>
                <w:lang w:eastAsia="en-US"/>
              </w:rPr>
              <w:t>)</w:t>
            </w:r>
            <w:r w:rsidRPr="00F81594">
              <w:rPr>
                <w:rFonts w:ascii="David" w:eastAsiaTheme="minorHAnsi" w:hAnsi="David" w:cs="David"/>
                <w:noProof w:val="0"/>
                <w:sz w:val="24"/>
                <w:szCs w:val="24"/>
                <w:rtl/>
                <w:lang w:eastAsia="en-US"/>
              </w:rPr>
              <w:tab/>
              <w:t>ב</w:t>
            </w:r>
            <w:r w:rsidRPr="00F81594">
              <w:rPr>
                <w:rFonts w:ascii="David" w:eastAsiaTheme="minorHAnsi" w:hAnsi="David" w:cs="David" w:hint="cs"/>
                <w:noProof w:val="0"/>
                <w:sz w:val="24"/>
                <w:szCs w:val="24"/>
                <w:rtl/>
                <w:lang w:eastAsia="en-US"/>
              </w:rPr>
              <w:t>מצ</w:t>
            </w:r>
            <w:r w:rsidRPr="00F81594">
              <w:rPr>
                <w:rFonts w:ascii="David" w:eastAsiaTheme="minorHAnsi" w:hAnsi="David" w:cs="David"/>
                <w:noProof w:val="0"/>
                <w:sz w:val="24"/>
                <w:szCs w:val="24"/>
                <w:rtl/>
                <w:lang w:eastAsia="en-US"/>
              </w:rPr>
              <w:t xml:space="preserve">ב </w:t>
            </w:r>
            <w:r w:rsidRPr="00F81594">
              <w:rPr>
                <w:rFonts w:ascii="David" w:eastAsiaTheme="minorHAnsi" w:hAnsi="David" w:cs="David" w:hint="cs"/>
                <w:noProof w:val="0"/>
                <w:sz w:val="24"/>
                <w:szCs w:val="24"/>
                <w:rtl/>
                <w:lang w:eastAsia="en-US"/>
              </w:rPr>
              <w:t>שבו מעשהו של הנאשם חרג במידה מועטה, בנסיבות העני</w:t>
            </w:r>
            <w:r>
              <w:rPr>
                <w:rFonts w:ascii="David" w:eastAsiaTheme="minorHAnsi" w:hAnsi="David" w:cs="David" w:hint="cs"/>
                <w:noProof w:val="0"/>
                <w:sz w:val="24"/>
                <w:szCs w:val="24"/>
                <w:rtl/>
                <w:lang w:eastAsia="en-US"/>
              </w:rPr>
              <w:t>י</w:t>
            </w:r>
            <w:r w:rsidRPr="00F81594">
              <w:rPr>
                <w:rFonts w:ascii="David" w:eastAsiaTheme="minorHAnsi" w:hAnsi="David" w:cs="David" w:hint="cs"/>
                <w:noProof w:val="0"/>
                <w:sz w:val="24"/>
                <w:szCs w:val="24"/>
                <w:rtl/>
                <w:lang w:eastAsia="en-US"/>
              </w:rPr>
              <w:t xml:space="preserve">ן, מתחום הסבירות הנדרשת </w:t>
            </w:r>
            <w:r w:rsidRPr="00F81594">
              <w:rPr>
                <w:rFonts w:ascii="David" w:eastAsiaTheme="minorHAnsi" w:hAnsi="David" w:cs="David"/>
                <w:noProof w:val="0"/>
                <w:sz w:val="24"/>
                <w:szCs w:val="24"/>
                <w:rtl/>
                <w:lang w:eastAsia="en-US"/>
              </w:rPr>
              <w:t>לפ</w:t>
            </w:r>
            <w:r w:rsidRPr="00F81594">
              <w:rPr>
                <w:rFonts w:ascii="David" w:eastAsiaTheme="minorHAnsi" w:hAnsi="David" w:cs="David" w:hint="cs"/>
                <w:noProof w:val="0"/>
                <w:sz w:val="24"/>
                <w:szCs w:val="24"/>
                <w:rtl/>
                <w:lang w:eastAsia="en-US"/>
              </w:rPr>
              <w:t>י סעיף 34טז לשם תחולת הסייג של הגנה עצמית, צורך או כורח, לפי סעיפים 34י, 34יא, 34יב.</w:t>
            </w:r>
          </w:p>
          <w:p w:rsidR="00B255A5" w:rsidRPr="001915FE" w:rsidRDefault="00B255A5" w:rsidP="0088588B">
            <w:pPr>
              <w:pStyle w:val="P11"/>
              <w:spacing w:before="72"/>
              <w:ind w:left="624" w:right="1134"/>
              <w:rPr>
                <w:rFonts w:ascii="David" w:hAnsi="David" w:cs="David"/>
                <w:sz w:val="24"/>
                <w:szCs w:val="24"/>
                <w:rtl/>
              </w:rPr>
            </w:pPr>
            <w:r w:rsidRPr="00F81594">
              <w:rPr>
                <w:rFonts w:ascii="David" w:eastAsiaTheme="minorHAnsi" w:hAnsi="David" w:cs="David"/>
                <w:noProof w:val="0"/>
                <w:sz w:val="24"/>
                <w:szCs w:val="24"/>
                <w:rtl/>
                <w:lang w:eastAsia="en-US"/>
              </w:rPr>
              <w:t>(ג</w:t>
            </w:r>
            <w:r w:rsidRPr="00F81594">
              <w:rPr>
                <w:rFonts w:ascii="David" w:eastAsiaTheme="minorHAnsi" w:hAnsi="David" w:cs="David" w:hint="cs"/>
                <w:noProof w:val="0"/>
                <w:sz w:val="24"/>
                <w:szCs w:val="24"/>
                <w:rtl/>
                <w:lang w:eastAsia="en-US"/>
              </w:rPr>
              <w:t>)</w:t>
            </w:r>
            <w:r w:rsidRPr="00F81594">
              <w:rPr>
                <w:rFonts w:ascii="David" w:eastAsiaTheme="minorHAnsi" w:hAnsi="David" w:cs="David"/>
                <w:noProof w:val="0"/>
                <w:sz w:val="24"/>
                <w:szCs w:val="24"/>
                <w:rtl/>
                <w:lang w:eastAsia="en-US"/>
              </w:rPr>
              <w:tab/>
              <w:t>כ</w:t>
            </w:r>
            <w:r w:rsidRPr="00F81594">
              <w:rPr>
                <w:rFonts w:ascii="David" w:eastAsiaTheme="minorHAnsi" w:hAnsi="David" w:cs="David" w:hint="cs"/>
                <w:noProof w:val="0"/>
                <w:sz w:val="24"/>
                <w:szCs w:val="24"/>
                <w:rtl/>
                <w:lang w:eastAsia="en-US"/>
              </w:rPr>
              <w:t>שה</w:t>
            </w:r>
            <w:r w:rsidRPr="00F81594">
              <w:rPr>
                <w:rFonts w:ascii="David" w:eastAsiaTheme="minorHAnsi" w:hAnsi="David" w:cs="David"/>
                <w:noProof w:val="0"/>
                <w:sz w:val="24"/>
                <w:szCs w:val="24"/>
                <w:rtl/>
                <w:lang w:eastAsia="en-US"/>
              </w:rPr>
              <w:t>נא</w:t>
            </w:r>
            <w:r w:rsidRPr="00F81594">
              <w:rPr>
                <w:rFonts w:ascii="David" w:eastAsiaTheme="minorHAnsi" w:hAnsi="David" w:cs="David" w:hint="cs"/>
                <w:noProof w:val="0"/>
                <w:sz w:val="24"/>
                <w:szCs w:val="24"/>
                <w:rtl/>
                <w:lang w:eastAsia="en-US"/>
              </w:rPr>
              <w:t>שם היה נתון במ</w:t>
            </w:r>
            <w:r w:rsidRPr="00F81594">
              <w:rPr>
                <w:rFonts w:ascii="David" w:eastAsiaTheme="minorHAnsi" w:hAnsi="David" w:cs="David"/>
                <w:noProof w:val="0"/>
                <w:sz w:val="24"/>
                <w:szCs w:val="24"/>
                <w:rtl/>
                <w:lang w:eastAsia="en-US"/>
              </w:rPr>
              <w:t>צב</w:t>
            </w:r>
            <w:r w:rsidRPr="00F81594">
              <w:rPr>
                <w:rFonts w:ascii="David" w:eastAsiaTheme="minorHAnsi" w:hAnsi="David" w:cs="David" w:hint="cs"/>
                <w:noProof w:val="0"/>
                <w:sz w:val="24"/>
                <w:szCs w:val="24"/>
                <w:rtl/>
                <w:lang w:eastAsia="en-US"/>
              </w:rPr>
              <w:t xml:space="preserve"> ש</w:t>
            </w:r>
            <w:r w:rsidRPr="00F81594">
              <w:rPr>
                <w:rFonts w:ascii="David" w:eastAsiaTheme="minorHAnsi" w:hAnsi="David" w:cs="David"/>
                <w:noProof w:val="0"/>
                <w:sz w:val="24"/>
                <w:szCs w:val="24"/>
                <w:rtl/>
                <w:lang w:eastAsia="en-US"/>
              </w:rPr>
              <w:t xml:space="preserve">ל </w:t>
            </w:r>
            <w:r w:rsidRPr="00F81594">
              <w:rPr>
                <w:rFonts w:ascii="David" w:eastAsiaTheme="minorHAnsi" w:hAnsi="David" w:cs="David" w:hint="cs"/>
                <w:noProof w:val="0"/>
                <w:sz w:val="24"/>
                <w:szCs w:val="24"/>
                <w:rtl/>
                <w:lang w:eastAsia="en-US"/>
              </w:rPr>
              <w:t>מצוקה נפשית קשה, עקב התעללות חמורה ומתמשכת בו או בבן משפחתו, בידי מי שהנאשם גרם למותו</w:t>
            </w:r>
            <w:r>
              <w:rPr>
                <w:rStyle w:val="default"/>
                <w:rFonts w:cs="FrankRuehl" w:hint="cs"/>
                <w:rtl/>
              </w:rPr>
              <w:t>."</w:t>
            </w:r>
          </w:p>
        </w:tc>
      </w:tr>
    </w:tbl>
    <w:p w:rsidR="00B255A5" w:rsidRDefault="00B255A5" w:rsidP="00B255A5">
      <w:pPr>
        <w:spacing w:before="120" w:after="0" w:line="360" w:lineRule="auto"/>
        <w:jc w:val="both"/>
        <w:rPr>
          <w:rFonts w:ascii="David" w:hAnsi="David" w:cs="David"/>
          <w:sz w:val="24"/>
          <w:szCs w:val="24"/>
          <w:rtl/>
        </w:rPr>
      </w:pPr>
    </w:p>
    <w:p w:rsidR="00B255A5" w:rsidRDefault="00B255A5" w:rsidP="00B255A5">
      <w:pPr>
        <w:spacing w:before="120" w:after="0" w:line="360" w:lineRule="auto"/>
        <w:jc w:val="both"/>
        <w:rPr>
          <w:rFonts w:ascii="David" w:hAnsi="David" w:cs="David"/>
          <w:sz w:val="24"/>
          <w:szCs w:val="24"/>
          <w:rtl/>
        </w:rPr>
      </w:pPr>
      <w:r>
        <w:rPr>
          <w:rFonts w:ascii="David" w:hAnsi="David" w:cs="David" w:hint="cs"/>
          <w:sz w:val="24"/>
          <w:szCs w:val="24"/>
          <w:rtl/>
        </w:rPr>
        <w:t xml:space="preserve">הוראה זו אינה קובעת עבירה של אחריות מופחתת אלא הרשעה בעבירת הרצח ומתן עונש מופחת. </w:t>
      </w:r>
    </w:p>
    <w:p w:rsidR="00B255A5" w:rsidRDefault="00B255A5" w:rsidP="00B255A5">
      <w:pPr>
        <w:spacing w:after="120" w:line="360" w:lineRule="auto"/>
        <w:jc w:val="both"/>
        <w:rPr>
          <w:rFonts w:ascii="David" w:hAnsi="David" w:cs="David"/>
          <w:sz w:val="24"/>
          <w:szCs w:val="24"/>
          <w:rtl/>
        </w:rPr>
      </w:pPr>
      <w:r>
        <w:rPr>
          <w:rFonts w:ascii="David" w:hAnsi="David" w:cs="David" w:hint="cs"/>
          <w:sz w:val="24"/>
          <w:szCs w:val="24"/>
          <w:rtl/>
        </w:rPr>
        <w:t>הוראה זו התקבלה בשנת 1995 לאחר ש</w:t>
      </w:r>
      <w:r w:rsidRPr="003C2373">
        <w:rPr>
          <w:rFonts w:ascii="David" w:hAnsi="David" w:cs="David" w:hint="cs"/>
          <w:sz w:val="24"/>
          <w:szCs w:val="24"/>
          <w:rtl/>
        </w:rPr>
        <w:t xml:space="preserve">הונחה על שולחן הכנסת הצעת חוק </w:t>
      </w:r>
      <w:r>
        <w:rPr>
          <w:rFonts w:ascii="David" w:hAnsi="David" w:cs="David" w:hint="cs"/>
          <w:sz w:val="24"/>
          <w:szCs w:val="24"/>
          <w:rtl/>
        </w:rPr>
        <w:t xml:space="preserve">ממשלתית </w:t>
      </w:r>
      <w:r w:rsidRPr="003C2373">
        <w:rPr>
          <w:rFonts w:ascii="David" w:hAnsi="David" w:cs="David" w:hint="cs"/>
          <w:sz w:val="24"/>
          <w:szCs w:val="24"/>
          <w:rtl/>
        </w:rPr>
        <w:t>לקביעת אחריות מופחתת. לאחר דיונים והתלבטויות רבות בוועדת החוקה חוק ומשפט, הוחלט לאמץ את הנסיבות שהוצעו</w:t>
      </w:r>
      <w:r>
        <w:rPr>
          <w:rFonts w:ascii="David" w:hAnsi="David" w:cs="David" w:hint="cs"/>
          <w:sz w:val="24"/>
          <w:szCs w:val="24"/>
          <w:rtl/>
        </w:rPr>
        <w:t xml:space="preserve"> כנסיבות מקלות והוסף סעיף 300א האמור</w:t>
      </w:r>
      <w:r w:rsidRPr="003C2373">
        <w:rPr>
          <w:rFonts w:ascii="David" w:hAnsi="David" w:cs="David" w:hint="cs"/>
          <w:sz w:val="24"/>
          <w:szCs w:val="24"/>
          <w:rtl/>
        </w:rPr>
        <w:t xml:space="preserve"> </w:t>
      </w:r>
      <w:r>
        <w:rPr>
          <w:rFonts w:ascii="David" w:hAnsi="David" w:cs="David" w:hint="cs"/>
          <w:sz w:val="24"/>
          <w:szCs w:val="24"/>
          <w:rtl/>
        </w:rPr>
        <w:t>(</w:t>
      </w:r>
      <w:r w:rsidRPr="003C2373">
        <w:rPr>
          <w:rFonts w:ascii="David" w:hAnsi="David" w:cs="David" w:hint="cs"/>
          <w:sz w:val="24"/>
          <w:szCs w:val="24"/>
          <w:rtl/>
        </w:rPr>
        <w:t>למעט נסיבה אחת שעסקה בהמתת חסד</w:t>
      </w:r>
      <w:r>
        <w:rPr>
          <w:rFonts w:ascii="David" w:hAnsi="David" w:cs="David" w:hint="cs"/>
          <w:sz w:val="24"/>
          <w:szCs w:val="24"/>
          <w:rtl/>
        </w:rPr>
        <w:t xml:space="preserve">, אשר פוצלה ולא קודמה), ואולם, הוחלט לאמצן כנסיבות המביאות להקלה בעונש אך לא </w:t>
      </w:r>
      <w:r>
        <w:rPr>
          <w:rFonts w:ascii="David" w:hAnsi="David" w:cs="David" w:hint="cs"/>
          <w:sz w:val="24"/>
          <w:szCs w:val="24"/>
          <w:rtl/>
        </w:rPr>
        <w:lastRenderedPageBreak/>
        <w:t xml:space="preserve">להקלה באחריות. מדברי הכנסת בעת ההצבעה על תיקון החוק האמור, עולה כי הוועדה התחבטה רבות האם לקבוע הוראה בדבר אחריות מופחתת </w:t>
      </w:r>
      <w:r w:rsidRPr="00664688">
        <w:rPr>
          <w:rFonts w:ascii="David" w:hAnsi="David" w:cs="David" w:hint="cs"/>
          <w:sz w:val="24"/>
          <w:szCs w:val="24"/>
          <w:rtl/>
        </w:rPr>
        <w:t xml:space="preserve">או עונש מופחת, ולבסוף מטעמים מוסריים הוחלט לאמץ תיקון בדבר העונש בלבד ולא להקל באחריות הממית (בניגוד לעמדתה של חה"כ דיין </w:t>
      </w:r>
      <w:r>
        <w:rPr>
          <w:rFonts w:ascii="David" w:hAnsi="David" w:cs="David" w:hint="cs"/>
          <w:sz w:val="24"/>
          <w:szCs w:val="24"/>
          <w:rtl/>
        </w:rPr>
        <w:t>שסברה שיש להכיר ב</w:t>
      </w:r>
      <w:r w:rsidRPr="00664688">
        <w:rPr>
          <w:rFonts w:ascii="David" w:hAnsi="David" w:cs="David" w:hint="cs"/>
          <w:sz w:val="24"/>
          <w:szCs w:val="24"/>
          <w:rtl/>
        </w:rPr>
        <w:t xml:space="preserve">נסיבה </w:t>
      </w:r>
      <w:r>
        <w:rPr>
          <w:rFonts w:ascii="David" w:hAnsi="David" w:cs="David" w:hint="cs"/>
          <w:sz w:val="24"/>
          <w:szCs w:val="24"/>
          <w:rtl/>
        </w:rPr>
        <w:t>בדבר ה</w:t>
      </w:r>
      <w:r w:rsidRPr="00664688">
        <w:rPr>
          <w:rFonts w:ascii="David" w:hAnsi="David" w:cs="David" w:hint="cs"/>
          <w:sz w:val="24"/>
          <w:szCs w:val="24"/>
          <w:rtl/>
        </w:rPr>
        <w:t>תעללות המנוח בממית כנסיבה של אחריות מופחתת)</w:t>
      </w:r>
      <w:r w:rsidRPr="00664688">
        <w:rPr>
          <w:rStyle w:val="a7"/>
          <w:rFonts w:ascii="David" w:hAnsi="David" w:cs="David"/>
          <w:sz w:val="24"/>
          <w:szCs w:val="24"/>
          <w:rtl/>
        </w:rPr>
        <w:footnoteReference w:id="1"/>
      </w:r>
      <w:r w:rsidRPr="00664688">
        <w:rPr>
          <w:rFonts w:ascii="David" w:hAnsi="David" w:cs="David" w:hint="cs"/>
          <w:sz w:val="24"/>
          <w:szCs w:val="24"/>
          <w:rtl/>
        </w:rPr>
        <w:t>.</w:t>
      </w:r>
      <w:r w:rsidRPr="003C2373">
        <w:rPr>
          <w:rFonts w:ascii="David" w:hAnsi="David" w:cs="David" w:hint="cs"/>
          <w:sz w:val="24"/>
          <w:szCs w:val="24"/>
          <w:rtl/>
        </w:rPr>
        <w:t xml:space="preserve"> </w:t>
      </w:r>
    </w:p>
    <w:p w:rsidR="00B255A5" w:rsidRDefault="00B255A5" w:rsidP="00B255A5">
      <w:pPr>
        <w:rPr>
          <w:rFonts w:ascii="David" w:hAnsi="David" w:cs="David"/>
          <w:b/>
          <w:bCs/>
          <w:sz w:val="24"/>
          <w:szCs w:val="24"/>
          <w:rtl/>
        </w:rPr>
      </w:pPr>
    </w:p>
    <w:p w:rsidR="00B255A5" w:rsidRPr="00B46C0A" w:rsidRDefault="00B255A5" w:rsidP="00B255A5">
      <w:pPr>
        <w:spacing w:before="120" w:after="0" w:line="360" w:lineRule="auto"/>
        <w:jc w:val="both"/>
        <w:rPr>
          <w:rFonts w:ascii="David" w:hAnsi="David" w:cs="David"/>
          <w:b/>
          <w:bCs/>
          <w:sz w:val="24"/>
          <w:szCs w:val="24"/>
          <w:rtl/>
        </w:rPr>
      </w:pPr>
      <w:r w:rsidRPr="00B46C0A">
        <w:rPr>
          <w:rFonts w:ascii="David" w:hAnsi="David" w:cs="David" w:hint="cs"/>
          <w:b/>
          <w:bCs/>
          <w:sz w:val="24"/>
          <w:szCs w:val="24"/>
          <w:rtl/>
        </w:rPr>
        <w:t>הצעת החוק</w:t>
      </w:r>
    </w:p>
    <w:p w:rsidR="00B255A5" w:rsidRDefault="00B255A5" w:rsidP="00B255A5">
      <w:pPr>
        <w:spacing w:after="0" w:line="360" w:lineRule="auto"/>
        <w:jc w:val="both"/>
        <w:rPr>
          <w:rFonts w:ascii="David" w:hAnsi="David" w:cs="David"/>
          <w:sz w:val="24"/>
          <w:szCs w:val="24"/>
          <w:rtl/>
        </w:rPr>
      </w:pPr>
      <w:r>
        <w:rPr>
          <w:rFonts w:ascii="David" w:hAnsi="David" w:cs="David" w:hint="cs"/>
          <w:sz w:val="24"/>
          <w:szCs w:val="24"/>
          <w:rtl/>
        </w:rPr>
        <w:t xml:space="preserve">הצעת החוק מבקשת לקבוע עבירה של המתה באחריות מופחתת לפיה גם אם הוכחו יסודות </w:t>
      </w:r>
      <w:r w:rsidRPr="00B46C0A">
        <w:rPr>
          <w:rFonts w:ascii="David" w:hAnsi="David" w:cs="David" w:hint="cs"/>
          <w:sz w:val="24"/>
          <w:szCs w:val="24"/>
          <w:u w:val="single"/>
          <w:rtl/>
        </w:rPr>
        <w:t>עבירת הרצח</w:t>
      </w:r>
      <w:r>
        <w:rPr>
          <w:rFonts w:ascii="David" w:hAnsi="David" w:cs="David" w:hint="cs"/>
          <w:sz w:val="24"/>
          <w:szCs w:val="24"/>
          <w:rtl/>
        </w:rPr>
        <w:t xml:space="preserve"> או </w:t>
      </w:r>
      <w:r w:rsidRPr="00B46C0A">
        <w:rPr>
          <w:rFonts w:ascii="David" w:hAnsi="David" w:cs="David" w:hint="cs"/>
          <w:sz w:val="24"/>
          <w:szCs w:val="24"/>
          <w:u w:val="single"/>
          <w:rtl/>
        </w:rPr>
        <w:t>הרצח בנסיבות מחמירות</w:t>
      </w:r>
      <w:r>
        <w:rPr>
          <w:rFonts w:ascii="David" w:hAnsi="David" w:cs="David" w:hint="cs"/>
          <w:sz w:val="24"/>
          <w:szCs w:val="24"/>
          <w:rtl/>
        </w:rPr>
        <w:t xml:space="preserve"> והתקיימה אחת הנסיבות המנויות בסעיף, הממית יחשב כמי שהמית בנסיבות של אחריות מפוחתת (דהיינו, התיוג שלו </w:t>
      </w:r>
      <w:r w:rsidRPr="00830C05">
        <w:rPr>
          <w:rFonts w:ascii="David" w:hAnsi="David" w:cs="David" w:hint="cs"/>
          <w:sz w:val="24"/>
          <w:szCs w:val="24"/>
          <w:u w:val="single"/>
          <w:rtl/>
        </w:rPr>
        <w:t>לא</w:t>
      </w:r>
      <w:r>
        <w:rPr>
          <w:rFonts w:ascii="David" w:hAnsi="David" w:cs="David" w:hint="cs"/>
          <w:sz w:val="24"/>
          <w:szCs w:val="24"/>
          <w:rtl/>
        </w:rPr>
        <w:t xml:space="preserve"> יהיה כשל מי שהורשע ברצח או ברצח בנסיבות מחמירות) ודינו של הממית יהיה עד עשרים שנות מאסר. הצעת החוק מבקשת לקבוע מספר נסיבות הקשורות במעשה או בעושה המבטאות דרגת אשמה פחותה יותר, כדלקמן:</w:t>
      </w:r>
    </w:p>
    <w:p w:rsidR="00B255A5" w:rsidRDefault="00B255A5" w:rsidP="00B255A5">
      <w:pPr>
        <w:spacing w:after="0" w:line="360" w:lineRule="auto"/>
        <w:jc w:val="both"/>
        <w:rPr>
          <w:rFonts w:ascii="David" w:hAnsi="David" w:cs="David"/>
          <w:sz w:val="24"/>
          <w:szCs w:val="24"/>
          <w:rtl/>
        </w:rPr>
      </w:pPr>
    </w:p>
    <w:tbl>
      <w:tblPr>
        <w:tblStyle w:val="a3"/>
        <w:bidiVisual/>
        <w:tblW w:w="0" w:type="auto"/>
        <w:tblLook w:val="04A0" w:firstRow="1" w:lastRow="0" w:firstColumn="1" w:lastColumn="0" w:noHBand="0" w:noVBand="1"/>
      </w:tblPr>
      <w:tblGrid>
        <w:gridCol w:w="8296"/>
      </w:tblGrid>
      <w:tr w:rsidR="00B255A5" w:rsidRPr="00ED7D16" w:rsidTr="0088588B">
        <w:tc>
          <w:tcPr>
            <w:tcW w:w="8296" w:type="dxa"/>
          </w:tcPr>
          <w:p w:rsidR="00B255A5" w:rsidRPr="00091326" w:rsidRDefault="00B255A5" w:rsidP="0088588B">
            <w:pPr>
              <w:pStyle w:val="TableText"/>
              <w:jc w:val="both"/>
              <w:rPr>
                <w:b/>
                <w:bCs/>
                <w:sz w:val="24"/>
                <w:szCs w:val="24"/>
                <w:rtl/>
              </w:rPr>
            </w:pPr>
            <w:r>
              <w:rPr>
                <w:rFonts w:hint="cs"/>
                <w:b/>
                <w:bCs/>
                <w:rtl/>
              </w:rPr>
              <w:t>"</w:t>
            </w:r>
            <w:r w:rsidRPr="00091326">
              <w:rPr>
                <w:b/>
                <w:bCs/>
                <w:sz w:val="24"/>
                <w:szCs w:val="24"/>
                <w:rtl/>
              </w:rPr>
              <w:t>301</w:t>
            </w:r>
            <w:r w:rsidRPr="00091326">
              <w:rPr>
                <w:rFonts w:hint="eastAsia"/>
                <w:b/>
                <w:bCs/>
                <w:sz w:val="24"/>
                <w:szCs w:val="24"/>
                <w:rtl/>
              </w:rPr>
              <w:t>ב</w:t>
            </w:r>
            <w:r w:rsidRPr="00091326">
              <w:rPr>
                <w:b/>
                <w:bCs/>
                <w:sz w:val="24"/>
                <w:szCs w:val="24"/>
                <w:rtl/>
              </w:rPr>
              <w:t>.</w:t>
            </w:r>
            <w:r w:rsidRPr="00091326">
              <w:rPr>
                <w:rFonts w:hint="cs"/>
                <w:b/>
                <w:bCs/>
                <w:sz w:val="24"/>
                <w:szCs w:val="24"/>
                <w:rtl/>
              </w:rPr>
              <w:t xml:space="preserve"> המתה בנסיבות של אחריות מופחתת</w:t>
            </w:r>
          </w:p>
          <w:p w:rsidR="00B255A5" w:rsidRPr="00091326" w:rsidRDefault="00B255A5" w:rsidP="0088588B">
            <w:pPr>
              <w:pStyle w:val="TableBlock"/>
              <w:rPr>
                <w:sz w:val="24"/>
                <w:szCs w:val="24"/>
                <w:rtl/>
              </w:rPr>
            </w:pPr>
            <w:r w:rsidRPr="00091326">
              <w:rPr>
                <w:sz w:val="24"/>
                <w:szCs w:val="24"/>
                <w:rtl/>
              </w:rPr>
              <w:t>(</w:t>
            </w:r>
            <w:r w:rsidRPr="00091326">
              <w:rPr>
                <w:rFonts w:hint="eastAsia"/>
                <w:sz w:val="24"/>
                <w:szCs w:val="24"/>
                <w:rtl/>
              </w:rPr>
              <w:t>א</w:t>
            </w:r>
            <w:r w:rsidRPr="00091326">
              <w:rPr>
                <w:sz w:val="24"/>
                <w:szCs w:val="24"/>
                <w:rtl/>
              </w:rPr>
              <w:t>)</w:t>
            </w:r>
            <w:r w:rsidRPr="00091326">
              <w:rPr>
                <w:sz w:val="24"/>
                <w:szCs w:val="24"/>
                <w:rtl/>
              </w:rPr>
              <w:tab/>
            </w:r>
            <w:r w:rsidRPr="00091326">
              <w:rPr>
                <w:rFonts w:hint="eastAsia"/>
                <w:sz w:val="24"/>
                <w:szCs w:val="24"/>
                <w:rtl/>
              </w:rPr>
              <w:t>על</w:t>
            </w:r>
            <w:r w:rsidRPr="00091326">
              <w:rPr>
                <w:sz w:val="24"/>
                <w:szCs w:val="24"/>
                <w:rtl/>
              </w:rPr>
              <w:t xml:space="preserve"> </w:t>
            </w:r>
            <w:r w:rsidRPr="00091326">
              <w:rPr>
                <w:rFonts w:hint="eastAsia"/>
                <w:sz w:val="24"/>
                <w:szCs w:val="24"/>
                <w:rtl/>
              </w:rPr>
              <w:t>אף</w:t>
            </w:r>
            <w:r w:rsidRPr="00091326">
              <w:rPr>
                <w:sz w:val="24"/>
                <w:szCs w:val="24"/>
                <w:rtl/>
              </w:rPr>
              <w:t xml:space="preserve"> </w:t>
            </w:r>
            <w:r w:rsidRPr="00091326">
              <w:rPr>
                <w:rFonts w:hint="eastAsia"/>
                <w:sz w:val="24"/>
                <w:szCs w:val="24"/>
                <w:rtl/>
              </w:rPr>
              <w:t>האמור</w:t>
            </w:r>
            <w:r w:rsidRPr="00091326">
              <w:rPr>
                <w:sz w:val="24"/>
                <w:szCs w:val="24"/>
                <w:rtl/>
              </w:rPr>
              <w:t xml:space="preserve"> </w:t>
            </w:r>
            <w:r w:rsidRPr="00091326">
              <w:rPr>
                <w:rFonts w:hint="eastAsia"/>
                <w:sz w:val="24"/>
                <w:szCs w:val="24"/>
                <w:rtl/>
              </w:rPr>
              <w:t>בסעיפים</w:t>
            </w:r>
            <w:r w:rsidRPr="00091326">
              <w:rPr>
                <w:sz w:val="24"/>
                <w:szCs w:val="24"/>
                <w:rtl/>
              </w:rPr>
              <w:t xml:space="preserve"> 300 </w:t>
            </w:r>
            <w:r w:rsidRPr="00091326">
              <w:rPr>
                <w:rFonts w:hint="eastAsia"/>
                <w:sz w:val="24"/>
                <w:szCs w:val="24"/>
                <w:rtl/>
              </w:rPr>
              <w:t>ו-</w:t>
            </w:r>
            <w:r w:rsidRPr="00091326">
              <w:rPr>
                <w:sz w:val="24"/>
                <w:szCs w:val="24"/>
                <w:rtl/>
              </w:rPr>
              <w:t>301</w:t>
            </w:r>
            <w:r w:rsidRPr="00091326">
              <w:rPr>
                <w:rFonts w:hint="eastAsia"/>
                <w:sz w:val="24"/>
                <w:szCs w:val="24"/>
                <w:rtl/>
              </w:rPr>
              <w:t>א</w:t>
            </w:r>
            <w:r w:rsidRPr="00091326">
              <w:rPr>
                <w:sz w:val="24"/>
                <w:szCs w:val="24"/>
                <w:rtl/>
              </w:rPr>
              <w:t xml:space="preserve">, </w:t>
            </w:r>
            <w:r w:rsidRPr="00091326">
              <w:rPr>
                <w:rFonts w:hint="eastAsia"/>
                <w:sz w:val="24"/>
                <w:szCs w:val="24"/>
                <w:rtl/>
              </w:rPr>
              <w:t>הגורם</w:t>
            </w:r>
            <w:r w:rsidRPr="00091326">
              <w:rPr>
                <w:sz w:val="24"/>
                <w:szCs w:val="24"/>
                <w:rtl/>
              </w:rPr>
              <w:t xml:space="preserve"> </w:t>
            </w:r>
            <w:r w:rsidRPr="00091326">
              <w:rPr>
                <w:rFonts w:hint="eastAsia"/>
                <w:sz w:val="24"/>
                <w:szCs w:val="24"/>
                <w:rtl/>
              </w:rPr>
              <w:t>בכוונה</w:t>
            </w:r>
            <w:r w:rsidRPr="00091326">
              <w:rPr>
                <w:sz w:val="24"/>
                <w:szCs w:val="24"/>
                <w:rtl/>
              </w:rPr>
              <w:t xml:space="preserve"> </w:t>
            </w:r>
            <w:r w:rsidRPr="00091326">
              <w:rPr>
                <w:rFonts w:hint="eastAsia"/>
                <w:sz w:val="24"/>
                <w:szCs w:val="24"/>
                <w:rtl/>
              </w:rPr>
              <w:t>או</w:t>
            </w:r>
            <w:r w:rsidRPr="00091326">
              <w:rPr>
                <w:sz w:val="24"/>
                <w:szCs w:val="24"/>
                <w:rtl/>
              </w:rPr>
              <w:t xml:space="preserve"> </w:t>
            </w:r>
            <w:r w:rsidRPr="00091326">
              <w:rPr>
                <w:rFonts w:hint="eastAsia"/>
                <w:sz w:val="24"/>
                <w:szCs w:val="24"/>
                <w:rtl/>
              </w:rPr>
              <w:t>באדישות</w:t>
            </w:r>
            <w:r w:rsidRPr="00091326">
              <w:rPr>
                <w:sz w:val="24"/>
                <w:szCs w:val="24"/>
                <w:rtl/>
              </w:rPr>
              <w:t xml:space="preserve"> </w:t>
            </w:r>
            <w:r w:rsidRPr="00091326">
              <w:rPr>
                <w:rFonts w:hint="eastAsia"/>
                <w:sz w:val="24"/>
                <w:szCs w:val="24"/>
                <w:rtl/>
              </w:rPr>
              <w:t>למותו</w:t>
            </w:r>
            <w:r w:rsidRPr="00091326">
              <w:rPr>
                <w:sz w:val="24"/>
                <w:szCs w:val="24"/>
                <w:rtl/>
              </w:rPr>
              <w:t xml:space="preserve"> </w:t>
            </w:r>
            <w:r w:rsidRPr="00091326">
              <w:rPr>
                <w:rFonts w:hint="eastAsia"/>
                <w:sz w:val="24"/>
                <w:szCs w:val="24"/>
                <w:rtl/>
              </w:rPr>
              <w:t>של</w:t>
            </w:r>
            <w:r w:rsidRPr="00091326">
              <w:rPr>
                <w:sz w:val="24"/>
                <w:szCs w:val="24"/>
                <w:rtl/>
              </w:rPr>
              <w:t xml:space="preserve"> </w:t>
            </w:r>
            <w:r w:rsidRPr="00091326">
              <w:rPr>
                <w:rFonts w:hint="eastAsia"/>
                <w:sz w:val="24"/>
                <w:szCs w:val="24"/>
                <w:rtl/>
              </w:rPr>
              <w:t>אדם</w:t>
            </w:r>
            <w:r w:rsidRPr="00091326">
              <w:rPr>
                <w:sz w:val="24"/>
                <w:szCs w:val="24"/>
                <w:rtl/>
              </w:rPr>
              <w:t xml:space="preserve"> </w:t>
            </w:r>
            <w:r w:rsidRPr="00091326">
              <w:rPr>
                <w:rFonts w:hint="eastAsia"/>
                <w:sz w:val="24"/>
                <w:szCs w:val="24"/>
                <w:rtl/>
              </w:rPr>
              <w:t>באחת</w:t>
            </w:r>
            <w:r w:rsidRPr="00091326">
              <w:rPr>
                <w:sz w:val="24"/>
                <w:szCs w:val="24"/>
                <w:rtl/>
              </w:rPr>
              <w:t xml:space="preserve"> </w:t>
            </w:r>
            <w:r w:rsidRPr="00091326">
              <w:rPr>
                <w:rFonts w:hint="eastAsia"/>
                <w:sz w:val="24"/>
                <w:szCs w:val="24"/>
                <w:rtl/>
              </w:rPr>
              <w:t>מהנסיבות</w:t>
            </w:r>
            <w:r w:rsidRPr="00091326">
              <w:rPr>
                <w:sz w:val="24"/>
                <w:szCs w:val="24"/>
                <w:rtl/>
              </w:rPr>
              <w:t xml:space="preserve"> </w:t>
            </w:r>
            <w:r w:rsidRPr="00091326">
              <w:rPr>
                <w:rFonts w:hint="eastAsia"/>
                <w:sz w:val="24"/>
                <w:szCs w:val="24"/>
                <w:rtl/>
              </w:rPr>
              <w:t>המפורטות</w:t>
            </w:r>
            <w:r w:rsidRPr="00091326">
              <w:rPr>
                <w:sz w:val="24"/>
                <w:szCs w:val="24"/>
                <w:rtl/>
              </w:rPr>
              <w:t xml:space="preserve"> </w:t>
            </w:r>
            <w:r w:rsidRPr="00091326">
              <w:rPr>
                <w:rFonts w:hint="eastAsia"/>
                <w:sz w:val="24"/>
                <w:szCs w:val="24"/>
                <w:rtl/>
              </w:rPr>
              <w:t>להלן</w:t>
            </w:r>
            <w:r w:rsidRPr="00091326">
              <w:rPr>
                <w:sz w:val="24"/>
                <w:szCs w:val="24"/>
                <w:rtl/>
              </w:rPr>
              <w:t xml:space="preserve">, </w:t>
            </w:r>
            <w:r w:rsidRPr="00091326">
              <w:rPr>
                <w:rFonts w:hint="eastAsia"/>
                <w:sz w:val="24"/>
                <w:szCs w:val="24"/>
                <w:rtl/>
              </w:rPr>
              <w:t>דינו</w:t>
            </w:r>
            <w:r w:rsidRPr="00091326">
              <w:rPr>
                <w:sz w:val="24"/>
                <w:szCs w:val="24"/>
                <w:rtl/>
              </w:rPr>
              <w:t xml:space="preserve"> – </w:t>
            </w:r>
            <w:r w:rsidRPr="00091326">
              <w:rPr>
                <w:rFonts w:hint="eastAsia"/>
                <w:sz w:val="24"/>
                <w:szCs w:val="24"/>
                <w:rtl/>
              </w:rPr>
              <w:t>מאסר</w:t>
            </w:r>
            <w:r w:rsidRPr="00091326">
              <w:rPr>
                <w:sz w:val="24"/>
                <w:szCs w:val="24"/>
                <w:rtl/>
              </w:rPr>
              <w:t xml:space="preserve"> </w:t>
            </w:r>
            <w:r w:rsidRPr="00091326">
              <w:rPr>
                <w:rFonts w:hint="eastAsia"/>
                <w:sz w:val="24"/>
                <w:szCs w:val="24"/>
                <w:rtl/>
              </w:rPr>
              <w:t>עשרים</w:t>
            </w:r>
            <w:r w:rsidRPr="00091326">
              <w:rPr>
                <w:sz w:val="24"/>
                <w:szCs w:val="24"/>
                <w:rtl/>
              </w:rPr>
              <w:t xml:space="preserve"> </w:t>
            </w:r>
            <w:r w:rsidRPr="00091326">
              <w:rPr>
                <w:rFonts w:hint="eastAsia"/>
                <w:sz w:val="24"/>
                <w:szCs w:val="24"/>
                <w:rtl/>
              </w:rPr>
              <w:t>שנים</w:t>
            </w:r>
            <w:r w:rsidRPr="00091326">
              <w:rPr>
                <w:sz w:val="24"/>
                <w:szCs w:val="24"/>
                <w:rtl/>
              </w:rPr>
              <w:t>:</w:t>
            </w:r>
          </w:p>
          <w:p w:rsidR="00B255A5" w:rsidRPr="00091326" w:rsidRDefault="00B255A5" w:rsidP="0088588B">
            <w:pPr>
              <w:pStyle w:val="TableBlock"/>
              <w:rPr>
                <w:sz w:val="24"/>
                <w:szCs w:val="24"/>
                <w:rtl/>
              </w:rPr>
            </w:pPr>
            <w:r w:rsidRPr="00091326">
              <w:rPr>
                <w:sz w:val="24"/>
                <w:szCs w:val="24"/>
                <w:rtl/>
              </w:rPr>
              <w:t>(1)</w:t>
            </w:r>
            <w:r w:rsidRPr="00091326">
              <w:rPr>
                <w:sz w:val="24"/>
                <w:szCs w:val="24"/>
                <w:rtl/>
              </w:rPr>
              <w:tab/>
            </w:r>
            <w:r w:rsidRPr="00091326">
              <w:rPr>
                <w:rFonts w:hint="eastAsia"/>
                <w:sz w:val="24"/>
                <w:szCs w:val="24"/>
                <w:rtl/>
              </w:rPr>
              <w:t>המעשה</w:t>
            </w:r>
            <w:r w:rsidRPr="00091326">
              <w:rPr>
                <w:sz w:val="24"/>
                <w:szCs w:val="24"/>
                <w:rtl/>
              </w:rPr>
              <w:t xml:space="preserve"> </w:t>
            </w:r>
            <w:r w:rsidRPr="00091326">
              <w:rPr>
                <w:rFonts w:hint="eastAsia"/>
                <w:sz w:val="24"/>
                <w:szCs w:val="24"/>
                <w:rtl/>
              </w:rPr>
              <w:t>בוצע</w:t>
            </w:r>
            <w:r w:rsidRPr="00091326">
              <w:rPr>
                <w:sz w:val="24"/>
                <w:szCs w:val="24"/>
                <w:rtl/>
              </w:rPr>
              <w:t xml:space="preserve"> </w:t>
            </w:r>
            <w:r w:rsidRPr="00091326">
              <w:rPr>
                <w:rFonts w:hint="eastAsia"/>
                <w:sz w:val="24"/>
                <w:szCs w:val="24"/>
                <w:rtl/>
              </w:rPr>
              <w:t>בתכוף</w:t>
            </w:r>
            <w:r w:rsidRPr="00091326">
              <w:rPr>
                <w:sz w:val="24"/>
                <w:szCs w:val="24"/>
                <w:rtl/>
              </w:rPr>
              <w:t xml:space="preserve"> </w:t>
            </w:r>
            <w:r w:rsidRPr="00091326">
              <w:rPr>
                <w:rFonts w:hint="eastAsia"/>
                <w:sz w:val="24"/>
                <w:szCs w:val="24"/>
                <w:rtl/>
              </w:rPr>
              <w:t>לאחר</w:t>
            </w:r>
            <w:r w:rsidRPr="00091326">
              <w:rPr>
                <w:sz w:val="24"/>
                <w:szCs w:val="24"/>
                <w:rtl/>
              </w:rPr>
              <w:t xml:space="preserve"> </w:t>
            </w:r>
            <w:r w:rsidRPr="00091326">
              <w:rPr>
                <w:rFonts w:hint="eastAsia"/>
                <w:sz w:val="24"/>
                <w:szCs w:val="24"/>
                <w:rtl/>
              </w:rPr>
              <w:t>התגרות</w:t>
            </w:r>
            <w:r w:rsidRPr="00091326">
              <w:rPr>
                <w:sz w:val="24"/>
                <w:szCs w:val="24"/>
                <w:rtl/>
              </w:rPr>
              <w:t xml:space="preserve"> </w:t>
            </w:r>
            <w:r w:rsidRPr="00091326">
              <w:rPr>
                <w:rFonts w:hint="eastAsia"/>
                <w:sz w:val="24"/>
                <w:szCs w:val="24"/>
                <w:rtl/>
              </w:rPr>
              <w:t>כלפי</w:t>
            </w:r>
            <w:r w:rsidRPr="00091326">
              <w:rPr>
                <w:sz w:val="24"/>
                <w:szCs w:val="24"/>
                <w:rtl/>
              </w:rPr>
              <w:t xml:space="preserve"> </w:t>
            </w:r>
            <w:r w:rsidRPr="00091326">
              <w:rPr>
                <w:rFonts w:hint="eastAsia"/>
                <w:sz w:val="24"/>
                <w:szCs w:val="24"/>
                <w:rtl/>
              </w:rPr>
              <w:t>הנאשם</w:t>
            </w:r>
            <w:r w:rsidRPr="00091326">
              <w:rPr>
                <w:sz w:val="24"/>
                <w:szCs w:val="24"/>
                <w:rtl/>
              </w:rPr>
              <w:t xml:space="preserve"> </w:t>
            </w:r>
            <w:r w:rsidRPr="00091326">
              <w:rPr>
                <w:rFonts w:hint="eastAsia"/>
                <w:sz w:val="24"/>
                <w:szCs w:val="24"/>
                <w:rtl/>
              </w:rPr>
              <w:t>ובתגובה</w:t>
            </w:r>
            <w:r w:rsidRPr="00091326">
              <w:rPr>
                <w:sz w:val="24"/>
                <w:szCs w:val="24"/>
                <w:rtl/>
              </w:rPr>
              <w:t xml:space="preserve"> </w:t>
            </w:r>
            <w:r w:rsidRPr="00091326">
              <w:rPr>
                <w:rFonts w:hint="eastAsia"/>
                <w:sz w:val="24"/>
                <w:szCs w:val="24"/>
                <w:rtl/>
              </w:rPr>
              <w:t>לאותה</w:t>
            </w:r>
            <w:r w:rsidRPr="00091326">
              <w:rPr>
                <w:sz w:val="24"/>
                <w:szCs w:val="24"/>
                <w:rtl/>
              </w:rPr>
              <w:t xml:space="preserve"> </w:t>
            </w:r>
            <w:r w:rsidRPr="00091326">
              <w:rPr>
                <w:rFonts w:hint="eastAsia"/>
                <w:sz w:val="24"/>
                <w:szCs w:val="24"/>
                <w:rtl/>
              </w:rPr>
              <w:t>התגרות</w:t>
            </w:r>
            <w:r w:rsidRPr="00091326">
              <w:rPr>
                <w:sz w:val="24"/>
                <w:szCs w:val="24"/>
                <w:rtl/>
              </w:rPr>
              <w:t xml:space="preserve">, </w:t>
            </w:r>
            <w:r w:rsidRPr="00091326">
              <w:rPr>
                <w:rFonts w:hint="eastAsia"/>
                <w:sz w:val="24"/>
                <w:szCs w:val="24"/>
                <w:rtl/>
              </w:rPr>
              <w:t>ומתקיימים</w:t>
            </w:r>
            <w:r w:rsidRPr="00091326">
              <w:rPr>
                <w:sz w:val="24"/>
                <w:szCs w:val="24"/>
                <w:rtl/>
              </w:rPr>
              <w:t xml:space="preserve"> </w:t>
            </w:r>
            <w:r w:rsidRPr="00091326">
              <w:rPr>
                <w:rFonts w:hint="eastAsia"/>
                <w:sz w:val="24"/>
                <w:szCs w:val="24"/>
                <w:rtl/>
              </w:rPr>
              <w:t>שניים</w:t>
            </w:r>
            <w:r w:rsidRPr="00091326">
              <w:rPr>
                <w:sz w:val="24"/>
                <w:szCs w:val="24"/>
                <w:rtl/>
              </w:rPr>
              <w:t xml:space="preserve"> </w:t>
            </w:r>
            <w:r w:rsidRPr="00091326">
              <w:rPr>
                <w:rFonts w:hint="eastAsia"/>
                <w:sz w:val="24"/>
                <w:szCs w:val="24"/>
                <w:rtl/>
              </w:rPr>
              <w:t>אלה</w:t>
            </w:r>
            <w:r w:rsidRPr="00091326">
              <w:rPr>
                <w:sz w:val="24"/>
                <w:szCs w:val="24"/>
                <w:rtl/>
              </w:rPr>
              <w:t>:</w:t>
            </w:r>
          </w:p>
          <w:p w:rsidR="00B255A5" w:rsidRPr="00091326" w:rsidRDefault="00B255A5" w:rsidP="0088588B">
            <w:pPr>
              <w:pStyle w:val="TableBlock"/>
              <w:ind w:left="624"/>
              <w:rPr>
                <w:sz w:val="24"/>
                <w:szCs w:val="24"/>
                <w:rtl/>
              </w:rPr>
            </w:pPr>
            <w:r w:rsidRPr="00091326">
              <w:rPr>
                <w:sz w:val="24"/>
                <w:szCs w:val="24"/>
                <w:rtl/>
              </w:rPr>
              <w:t>(</w:t>
            </w:r>
            <w:r w:rsidRPr="00091326">
              <w:rPr>
                <w:rFonts w:hint="eastAsia"/>
                <w:sz w:val="24"/>
                <w:szCs w:val="24"/>
                <w:rtl/>
              </w:rPr>
              <w:t>א</w:t>
            </w:r>
            <w:r w:rsidRPr="00091326">
              <w:rPr>
                <w:sz w:val="24"/>
                <w:szCs w:val="24"/>
                <w:rtl/>
              </w:rPr>
              <w:t>)</w:t>
            </w:r>
            <w:r w:rsidRPr="00091326">
              <w:rPr>
                <w:sz w:val="24"/>
                <w:szCs w:val="24"/>
                <w:rtl/>
              </w:rPr>
              <w:tab/>
            </w:r>
            <w:r w:rsidRPr="00091326">
              <w:rPr>
                <w:rFonts w:hint="eastAsia"/>
                <w:sz w:val="24"/>
                <w:szCs w:val="24"/>
                <w:rtl/>
              </w:rPr>
              <w:t>בעקבות</w:t>
            </w:r>
            <w:r w:rsidRPr="00091326">
              <w:rPr>
                <w:sz w:val="24"/>
                <w:szCs w:val="24"/>
                <w:rtl/>
              </w:rPr>
              <w:t xml:space="preserve"> </w:t>
            </w:r>
            <w:r w:rsidRPr="00091326">
              <w:rPr>
                <w:rFonts w:hint="eastAsia"/>
                <w:sz w:val="24"/>
                <w:szCs w:val="24"/>
                <w:rtl/>
              </w:rPr>
              <w:t>ההתגרות</w:t>
            </w:r>
            <w:r w:rsidRPr="00091326">
              <w:rPr>
                <w:sz w:val="24"/>
                <w:szCs w:val="24"/>
                <w:rtl/>
              </w:rPr>
              <w:t xml:space="preserve"> </w:t>
            </w:r>
            <w:r w:rsidRPr="00091326">
              <w:rPr>
                <w:rFonts w:hint="eastAsia"/>
                <w:sz w:val="24"/>
                <w:szCs w:val="24"/>
                <w:rtl/>
              </w:rPr>
              <w:t>הנאשם</w:t>
            </w:r>
            <w:r w:rsidRPr="00091326">
              <w:rPr>
                <w:sz w:val="24"/>
                <w:szCs w:val="24"/>
                <w:rtl/>
              </w:rPr>
              <w:t xml:space="preserve"> </w:t>
            </w:r>
            <w:r w:rsidRPr="00091326">
              <w:rPr>
                <w:rFonts w:hint="eastAsia"/>
                <w:sz w:val="24"/>
                <w:szCs w:val="24"/>
                <w:rtl/>
              </w:rPr>
              <w:t>התקשה</w:t>
            </w:r>
            <w:r w:rsidRPr="00091326">
              <w:rPr>
                <w:sz w:val="24"/>
                <w:szCs w:val="24"/>
                <w:rtl/>
              </w:rPr>
              <w:t xml:space="preserve"> </w:t>
            </w:r>
            <w:r w:rsidRPr="00091326">
              <w:rPr>
                <w:rFonts w:hint="eastAsia"/>
                <w:sz w:val="24"/>
                <w:szCs w:val="24"/>
                <w:rtl/>
              </w:rPr>
              <w:t>במידה</w:t>
            </w:r>
            <w:r w:rsidRPr="00091326">
              <w:rPr>
                <w:sz w:val="24"/>
                <w:szCs w:val="24"/>
                <w:rtl/>
              </w:rPr>
              <w:t xml:space="preserve"> </w:t>
            </w:r>
            <w:r w:rsidRPr="00091326">
              <w:rPr>
                <w:rFonts w:hint="eastAsia"/>
                <w:sz w:val="24"/>
                <w:szCs w:val="24"/>
                <w:rtl/>
              </w:rPr>
              <w:t>ניכרת</w:t>
            </w:r>
            <w:r w:rsidRPr="00091326">
              <w:rPr>
                <w:sz w:val="24"/>
                <w:szCs w:val="24"/>
                <w:rtl/>
              </w:rPr>
              <w:t xml:space="preserve"> </w:t>
            </w:r>
            <w:r w:rsidRPr="00091326">
              <w:rPr>
                <w:rFonts w:hint="eastAsia"/>
                <w:sz w:val="24"/>
                <w:szCs w:val="24"/>
                <w:rtl/>
              </w:rPr>
              <w:t>לשלוט</w:t>
            </w:r>
            <w:r w:rsidRPr="00091326">
              <w:rPr>
                <w:sz w:val="24"/>
                <w:szCs w:val="24"/>
                <w:rtl/>
              </w:rPr>
              <w:t xml:space="preserve"> </w:t>
            </w:r>
            <w:r w:rsidRPr="00091326">
              <w:rPr>
                <w:rFonts w:hint="eastAsia"/>
                <w:sz w:val="24"/>
                <w:szCs w:val="24"/>
                <w:rtl/>
              </w:rPr>
              <w:t>בעצמו</w:t>
            </w:r>
            <w:r w:rsidRPr="00091326">
              <w:rPr>
                <w:sz w:val="24"/>
                <w:szCs w:val="24"/>
                <w:rtl/>
              </w:rPr>
              <w:t>;</w:t>
            </w:r>
          </w:p>
          <w:p w:rsidR="00B255A5" w:rsidRPr="00091326" w:rsidRDefault="00B255A5" w:rsidP="0088588B">
            <w:pPr>
              <w:pStyle w:val="TableBlock"/>
              <w:ind w:left="624"/>
              <w:rPr>
                <w:sz w:val="24"/>
                <w:szCs w:val="24"/>
                <w:rtl/>
              </w:rPr>
            </w:pPr>
            <w:r w:rsidRPr="00091326">
              <w:rPr>
                <w:sz w:val="24"/>
                <w:szCs w:val="24"/>
                <w:rtl/>
              </w:rPr>
              <w:t>(</w:t>
            </w:r>
            <w:r w:rsidRPr="00091326">
              <w:rPr>
                <w:rFonts w:hint="eastAsia"/>
                <w:sz w:val="24"/>
                <w:szCs w:val="24"/>
                <w:rtl/>
              </w:rPr>
              <w:t>ב</w:t>
            </w:r>
            <w:r w:rsidRPr="00091326">
              <w:rPr>
                <w:sz w:val="24"/>
                <w:szCs w:val="24"/>
                <w:rtl/>
              </w:rPr>
              <w:t>)</w:t>
            </w:r>
            <w:r w:rsidRPr="00091326">
              <w:rPr>
                <w:sz w:val="24"/>
                <w:szCs w:val="24"/>
                <w:rtl/>
              </w:rPr>
              <w:tab/>
            </w:r>
            <w:r w:rsidRPr="00091326">
              <w:rPr>
                <w:rFonts w:hint="eastAsia"/>
                <w:sz w:val="24"/>
                <w:szCs w:val="24"/>
                <w:rtl/>
              </w:rPr>
              <w:t>יש</w:t>
            </w:r>
            <w:r w:rsidRPr="00091326">
              <w:rPr>
                <w:sz w:val="24"/>
                <w:szCs w:val="24"/>
                <w:rtl/>
              </w:rPr>
              <w:t xml:space="preserve"> </w:t>
            </w:r>
            <w:r w:rsidRPr="00091326">
              <w:rPr>
                <w:rFonts w:hint="eastAsia"/>
                <w:sz w:val="24"/>
                <w:szCs w:val="24"/>
                <w:rtl/>
              </w:rPr>
              <w:t>בקושי</w:t>
            </w:r>
            <w:r w:rsidRPr="00091326">
              <w:rPr>
                <w:sz w:val="24"/>
                <w:szCs w:val="24"/>
                <w:rtl/>
              </w:rPr>
              <w:t xml:space="preserve"> </w:t>
            </w:r>
            <w:r w:rsidRPr="00091326">
              <w:rPr>
                <w:rFonts w:hint="eastAsia"/>
                <w:sz w:val="24"/>
                <w:szCs w:val="24"/>
                <w:rtl/>
              </w:rPr>
              <w:t>האמור</w:t>
            </w:r>
            <w:r w:rsidRPr="00091326">
              <w:rPr>
                <w:sz w:val="24"/>
                <w:szCs w:val="24"/>
                <w:rtl/>
              </w:rPr>
              <w:t xml:space="preserve"> </w:t>
            </w:r>
            <w:r w:rsidRPr="00091326">
              <w:rPr>
                <w:rFonts w:hint="eastAsia"/>
                <w:sz w:val="24"/>
                <w:szCs w:val="24"/>
                <w:rtl/>
              </w:rPr>
              <w:t>בפסקה</w:t>
            </w:r>
            <w:r w:rsidRPr="00091326">
              <w:rPr>
                <w:sz w:val="24"/>
                <w:szCs w:val="24"/>
                <w:rtl/>
              </w:rPr>
              <w:t xml:space="preserve"> (1) </w:t>
            </w:r>
            <w:r w:rsidRPr="00091326">
              <w:rPr>
                <w:rFonts w:hint="eastAsia"/>
                <w:sz w:val="24"/>
                <w:szCs w:val="24"/>
                <w:rtl/>
              </w:rPr>
              <w:t>כדי</w:t>
            </w:r>
            <w:r w:rsidRPr="00091326">
              <w:rPr>
                <w:sz w:val="24"/>
                <w:szCs w:val="24"/>
                <w:rtl/>
              </w:rPr>
              <w:t xml:space="preserve"> </w:t>
            </w:r>
            <w:r w:rsidRPr="00091326">
              <w:rPr>
                <w:rFonts w:hint="eastAsia"/>
                <w:sz w:val="24"/>
                <w:szCs w:val="24"/>
                <w:rtl/>
              </w:rPr>
              <w:t>למתן</w:t>
            </w:r>
            <w:r w:rsidRPr="00091326">
              <w:rPr>
                <w:sz w:val="24"/>
                <w:szCs w:val="24"/>
                <w:rtl/>
              </w:rPr>
              <w:t xml:space="preserve"> </w:t>
            </w:r>
            <w:r w:rsidRPr="00091326">
              <w:rPr>
                <w:rFonts w:hint="eastAsia"/>
                <w:sz w:val="24"/>
                <w:szCs w:val="24"/>
                <w:rtl/>
              </w:rPr>
              <w:t>את</w:t>
            </w:r>
            <w:r w:rsidRPr="00091326">
              <w:rPr>
                <w:sz w:val="24"/>
                <w:szCs w:val="24"/>
                <w:rtl/>
              </w:rPr>
              <w:t xml:space="preserve"> </w:t>
            </w:r>
            <w:r w:rsidRPr="00091326">
              <w:rPr>
                <w:rFonts w:hint="eastAsia"/>
                <w:sz w:val="24"/>
                <w:szCs w:val="24"/>
                <w:rtl/>
              </w:rPr>
              <w:t>אשמתו</w:t>
            </w:r>
            <w:r w:rsidRPr="00091326">
              <w:rPr>
                <w:sz w:val="24"/>
                <w:szCs w:val="24"/>
                <w:rtl/>
              </w:rPr>
              <w:t xml:space="preserve"> </w:t>
            </w:r>
            <w:r w:rsidRPr="00091326">
              <w:rPr>
                <w:rFonts w:hint="eastAsia"/>
                <w:sz w:val="24"/>
                <w:szCs w:val="24"/>
                <w:rtl/>
              </w:rPr>
              <w:t>של</w:t>
            </w:r>
            <w:r w:rsidRPr="00091326">
              <w:rPr>
                <w:sz w:val="24"/>
                <w:szCs w:val="24"/>
                <w:rtl/>
              </w:rPr>
              <w:t xml:space="preserve"> </w:t>
            </w:r>
            <w:r w:rsidRPr="00091326">
              <w:rPr>
                <w:rFonts w:hint="eastAsia"/>
                <w:sz w:val="24"/>
                <w:szCs w:val="24"/>
                <w:rtl/>
              </w:rPr>
              <w:t>הנאשם</w:t>
            </w:r>
            <w:r w:rsidRPr="00091326">
              <w:rPr>
                <w:sz w:val="24"/>
                <w:szCs w:val="24"/>
                <w:rtl/>
              </w:rPr>
              <w:t xml:space="preserve">, </w:t>
            </w:r>
            <w:r w:rsidRPr="00091326">
              <w:rPr>
                <w:rFonts w:hint="eastAsia"/>
                <w:sz w:val="24"/>
                <w:szCs w:val="24"/>
                <w:rtl/>
              </w:rPr>
              <w:t>בשים</w:t>
            </w:r>
            <w:r w:rsidRPr="00091326">
              <w:rPr>
                <w:sz w:val="24"/>
                <w:szCs w:val="24"/>
                <w:rtl/>
              </w:rPr>
              <w:t xml:space="preserve"> </w:t>
            </w:r>
            <w:r w:rsidRPr="00091326">
              <w:rPr>
                <w:rFonts w:hint="eastAsia"/>
                <w:sz w:val="24"/>
                <w:szCs w:val="24"/>
                <w:rtl/>
              </w:rPr>
              <w:t>לב</w:t>
            </w:r>
            <w:r w:rsidRPr="00091326">
              <w:rPr>
                <w:sz w:val="24"/>
                <w:szCs w:val="24"/>
                <w:rtl/>
              </w:rPr>
              <w:t xml:space="preserve"> </w:t>
            </w:r>
            <w:r w:rsidRPr="00091326">
              <w:rPr>
                <w:rFonts w:hint="eastAsia"/>
                <w:sz w:val="24"/>
                <w:szCs w:val="24"/>
                <w:rtl/>
              </w:rPr>
              <w:t>למכלול</w:t>
            </w:r>
            <w:r w:rsidRPr="00091326">
              <w:rPr>
                <w:sz w:val="24"/>
                <w:szCs w:val="24"/>
                <w:rtl/>
              </w:rPr>
              <w:t xml:space="preserve"> </w:t>
            </w:r>
            <w:r w:rsidRPr="00091326">
              <w:rPr>
                <w:rFonts w:hint="eastAsia"/>
                <w:sz w:val="24"/>
                <w:szCs w:val="24"/>
                <w:rtl/>
              </w:rPr>
              <w:t>נסיבות</w:t>
            </w:r>
            <w:r w:rsidRPr="00091326">
              <w:rPr>
                <w:sz w:val="24"/>
                <w:szCs w:val="24"/>
                <w:rtl/>
              </w:rPr>
              <w:t xml:space="preserve"> </w:t>
            </w:r>
            <w:r w:rsidRPr="00091326">
              <w:rPr>
                <w:rFonts w:hint="eastAsia"/>
                <w:sz w:val="24"/>
                <w:szCs w:val="24"/>
                <w:rtl/>
              </w:rPr>
              <w:t>העניין</w:t>
            </w:r>
            <w:r w:rsidRPr="00091326">
              <w:rPr>
                <w:sz w:val="24"/>
                <w:szCs w:val="24"/>
                <w:rtl/>
              </w:rPr>
              <w:t>;</w:t>
            </w:r>
          </w:p>
          <w:p w:rsidR="00B255A5" w:rsidRPr="00091326" w:rsidRDefault="00B255A5" w:rsidP="0088588B">
            <w:pPr>
              <w:pStyle w:val="TableBlock"/>
              <w:rPr>
                <w:sz w:val="24"/>
                <w:szCs w:val="24"/>
                <w:rtl/>
              </w:rPr>
            </w:pPr>
            <w:r w:rsidRPr="00091326">
              <w:rPr>
                <w:sz w:val="24"/>
                <w:szCs w:val="24"/>
                <w:rtl/>
              </w:rPr>
              <w:t>(2)</w:t>
            </w:r>
            <w:r w:rsidRPr="00091326">
              <w:rPr>
                <w:sz w:val="24"/>
                <w:szCs w:val="24"/>
                <w:rtl/>
              </w:rPr>
              <w:tab/>
            </w:r>
            <w:r w:rsidRPr="00091326">
              <w:rPr>
                <w:rFonts w:hint="eastAsia"/>
                <w:sz w:val="24"/>
                <w:szCs w:val="24"/>
                <w:rtl/>
              </w:rPr>
              <w:t>המעשה</w:t>
            </w:r>
            <w:r w:rsidRPr="00091326">
              <w:rPr>
                <w:sz w:val="24"/>
                <w:szCs w:val="24"/>
                <w:rtl/>
              </w:rPr>
              <w:t xml:space="preserve"> </w:t>
            </w:r>
            <w:r w:rsidRPr="00091326">
              <w:rPr>
                <w:rFonts w:hint="eastAsia"/>
                <w:sz w:val="24"/>
                <w:szCs w:val="24"/>
                <w:rtl/>
              </w:rPr>
              <w:t>נעשה</w:t>
            </w:r>
            <w:r w:rsidRPr="00091326">
              <w:rPr>
                <w:sz w:val="24"/>
                <w:szCs w:val="24"/>
                <w:rtl/>
              </w:rPr>
              <w:t xml:space="preserve"> </w:t>
            </w:r>
            <w:r w:rsidRPr="00091326">
              <w:rPr>
                <w:rFonts w:hint="eastAsia"/>
                <w:sz w:val="24"/>
                <w:szCs w:val="24"/>
                <w:rtl/>
              </w:rPr>
              <w:t>כשהנאשם</w:t>
            </w:r>
            <w:r w:rsidRPr="00091326">
              <w:rPr>
                <w:sz w:val="24"/>
                <w:szCs w:val="24"/>
                <w:rtl/>
              </w:rPr>
              <w:t xml:space="preserve"> </w:t>
            </w:r>
            <w:r w:rsidRPr="00091326">
              <w:rPr>
                <w:rFonts w:hint="eastAsia"/>
                <w:sz w:val="24"/>
                <w:szCs w:val="24"/>
                <w:rtl/>
              </w:rPr>
              <w:t>היה</w:t>
            </w:r>
            <w:r w:rsidRPr="00091326">
              <w:rPr>
                <w:sz w:val="24"/>
                <w:szCs w:val="24"/>
                <w:rtl/>
              </w:rPr>
              <w:t xml:space="preserve"> </w:t>
            </w:r>
            <w:r w:rsidRPr="00091326">
              <w:rPr>
                <w:rFonts w:hint="eastAsia"/>
                <w:sz w:val="24"/>
                <w:szCs w:val="24"/>
                <w:rtl/>
              </w:rPr>
              <w:t>נתון</w:t>
            </w:r>
            <w:r w:rsidRPr="00091326">
              <w:rPr>
                <w:sz w:val="24"/>
                <w:szCs w:val="24"/>
                <w:rtl/>
              </w:rPr>
              <w:t xml:space="preserve"> </w:t>
            </w:r>
            <w:r w:rsidRPr="00091326">
              <w:rPr>
                <w:rFonts w:hint="eastAsia"/>
                <w:sz w:val="24"/>
                <w:szCs w:val="24"/>
                <w:rtl/>
              </w:rPr>
              <w:t>במצב</w:t>
            </w:r>
            <w:r w:rsidRPr="00091326">
              <w:rPr>
                <w:sz w:val="24"/>
                <w:szCs w:val="24"/>
                <w:rtl/>
              </w:rPr>
              <w:t xml:space="preserve"> </w:t>
            </w:r>
            <w:r w:rsidRPr="00091326">
              <w:rPr>
                <w:rFonts w:hint="eastAsia"/>
                <w:sz w:val="24"/>
                <w:szCs w:val="24"/>
                <w:rtl/>
              </w:rPr>
              <w:t>של</w:t>
            </w:r>
            <w:r w:rsidRPr="00091326">
              <w:rPr>
                <w:sz w:val="24"/>
                <w:szCs w:val="24"/>
                <w:rtl/>
              </w:rPr>
              <w:t xml:space="preserve"> </w:t>
            </w:r>
            <w:r w:rsidRPr="00091326">
              <w:rPr>
                <w:rFonts w:hint="eastAsia"/>
                <w:sz w:val="24"/>
                <w:szCs w:val="24"/>
                <w:rtl/>
              </w:rPr>
              <w:t>מצוקה</w:t>
            </w:r>
            <w:r w:rsidRPr="00091326">
              <w:rPr>
                <w:sz w:val="24"/>
                <w:szCs w:val="24"/>
                <w:rtl/>
              </w:rPr>
              <w:t xml:space="preserve"> </w:t>
            </w:r>
            <w:r w:rsidRPr="00091326">
              <w:rPr>
                <w:rFonts w:hint="eastAsia"/>
                <w:sz w:val="24"/>
                <w:szCs w:val="24"/>
                <w:rtl/>
              </w:rPr>
              <w:t>נפשית</w:t>
            </w:r>
            <w:r w:rsidRPr="00091326">
              <w:rPr>
                <w:sz w:val="24"/>
                <w:szCs w:val="24"/>
                <w:rtl/>
              </w:rPr>
              <w:t xml:space="preserve"> </w:t>
            </w:r>
            <w:r w:rsidRPr="00091326">
              <w:rPr>
                <w:rFonts w:hint="eastAsia"/>
                <w:sz w:val="24"/>
                <w:szCs w:val="24"/>
                <w:rtl/>
              </w:rPr>
              <w:t>קשה</w:t>
            </w:r>
            <w:r w:rsidRPr="00091326">
              <w:rPr>
                <w:sz w:val="24"/>
                <w:szCs w:val="24"/>
                <w:rtl/>
              </w:rPr>
              <w:t xml:space="preserve">, </w:t>
            </w:r>
            <w:r w:rsidRPr="00091326">
              <w:rPr>
                <w:rFonts w:hint="eastAsia"/>
                <w:sz w:val="24"/>
                <w:szCs w:val="24"/>
                <w:rtl/>
              </w:rPr>
              <w:t>עקב</w:t>
            </w:r>
            <w:r w:rsidRPr="00091326">
              <w:rPr>
                <w:sz w:val="24"/>
                <w:szCs w:val="24"/>
                <w:rtl/>
              </w:rPr>
              <w:t xml:space="preserve"> </w:t>
            </w:r>
            <w:r w:rsidRPr="00091326">
              <w:rPr>
                <w:rFonts w:hint="eastAsia"/>
                <w:sz w:val="24"/>
                <w:szCs w:val="24"/>
                <w:rtl/>
              </w:rPr>
              <w:t>התעללות</w:t>
            </w:r>
            <w:r w:rsidRPr="00091326">
              <w:rPr>
                <w:sz w:val="24"/>
                <w:szCs w:val="24"/>
                <w:rtl/>
              </w:rPr>
              <w:t xml:space="preserve"> </w:t>
            </w:r>
            <w:r w:rsidRPr="00091326">
              <w:rPr>
                <w:rFonts w:hint="eastAsia"/>
                <w:sz w:val="24"/>
                <w:szCs w:val="24"/>
                <w:rtl/>
              </w:rPr>
              <w:t>חמורה</w:t>
            </w:r>
            <w:r w:rsidRPr="00091326">
              <w:rPr>
                <w:sz w:val="24"/>
                <w:szCs w:val="24"/>
                <w:rtl/>
              </w:rPr>
              <w:t xml:space="preserve"> </w:t>
            </w:r>
            <w:r w:rsidRPr="00091326">
              <w:rPr>
                <w:rFonts w:hint="eastAsia"/>
                <w:sz w:val="24"/>
                <w:szCs w:val="24"/>
                <w:rtl/>
              </w:rPr>
              <w:t>ומתמשכת</w:t>
            </w:r>
            <w:r w:rsidRPr="00091326">
              <w:rPr>
                <w:sz w:val="24"/>
                <w:szCs w:val="24"/>
                <w:rtl/>
              </w:rPr>
              <w:t xml:space="preserve"> </w:t>
            </w:r>
            <w:r w:rsidRPr="00091326">
              <w:rPr>
                <w:rFonts w:hint="eastAsia"/>
                <w:sz w:val="24"/>
                <w:szCs w:val="24"/>
                <w:rtl/>
              </w:rPr>
              <w:t>בו</w:t>
            </w:r>
            <w:r w:rsidRPr="00091326">
              <w:rPr>
                <w:sz w:val="24"/>
                <w:szCs w:val="24"/>
                <w:rtl/>
              </w:rPr>
              <w:t xml:space="preserve"> </w:t>
            </w:r>
            <w:r w:rsidRPr="00091326">
              <w:rPr>
                <w:rFonts w:hint="eastAsia"/>
                <w:sz w:val="24"/>
                <w:szCs w:val="24"/>
                <w:rtl/>
              </w:rPr>
              <w:t>או</w:t>
            </w:r>
            <w:r w:rsidRPr="00091326">
              <w:rPr>
                <w:sz w:val="24"/>
                <w:szCs w:val="24"/>
                <w:rtl/>
              </w:rPr>
              <w:t xml:space="preserve"> </w:t>
            </w:r>
            <w:r w:rsidRPr="00091326">
              <w:rPr>
                <w:rFonts w:hint="eastAsia"/>
                <w:sz w:val="24"/>
                <w:szCs w:val="24"/>
                <w:rtl/>
              </w:rPr>
              <w:t>בבן</w:t>
            </w:r>
            <w:r w:rsidRPr="00091326">
              <w:rPr>
                <w:sz w:val="24"/>
                <w:szCs w:val="24"/>
                <w:rtl/>
              </w:rPr>
              <w:t xml:space="preserve"> </w:t>
            </w:r>
            <w:r w:rsidRPr="00091326">
              <w:rPr>
                <w:rFonts w:hint="eastAsia"/>
                <w:sz w:val="24"/>
                <w:szCs w:val="24"/>
                <w:rtl/>
              </w:rPr>
              <w:t>משפחתו</w:t>
            </w:r>
            <w:r w:rsidRPr="00091326">
              <w:rPr>
                <w:sz w:val="24"/>
                <w:szCs w:val="24"/>
                <w:rtl/>
              </w:rPr>
              <w:t xml:space="preserve">, </w:t>
            </w:r>
            <w:r w:rsidRPr="00091326">
              <w:rPr>
                <w:rFonts w:hint="eastAsia"/>
                <w:sz w:val="24"/>
                <w:szCs w:val="24"/>
                <w:rtl/>
              </w:rPr>
              <w:t>בידי</w:t>
            </w:r>
            <w:r w:rsidRPr="00091326">
              <w:rPr>
                <w:sz w:val="24"/>
                <w:szCs w:val="24"/>
                <w:rtl/>
              </w:rPr>
              <w:t xml:space="preserve"> </w:t>
            </w:r>
            <w:r w:rsidRPr="00091326">
              <w:rPr>
                <w:rFonts w:hint="eastAsia"/>
                <w:sz w:val="24"/>
                <w:szCs w:val="24"/>
                <w:rtl/>
              </w:rPr>
              <w:t>מי</w:t>
            </w:r>
            <w:r w:rsidRPr="00091326">
              <w:rPr>
                <w:sz w:val="24"/>
                <w:szCs w:val="24"/>
                <w:rtl/>
              </w:rPr>
              <w:t xml:space="preserve"> </w:t>
            </w:r>
            <w:r w:rsidRPr="00091326">
              <w:rPr>
                <w:rFonts w:hint="eastAsia"/>
                <w:sz w:val="24"/>
                <w:szCs w:val="24"/>
                <w:rtl/>
              </w:rPr>
              <w:t>שהנאשם</w:t>
            </w:r>
            <w:r w:rsidRPr="00091326">
              <w:rPr>
                <w:sz w:val="24"/>
                <w:szCs w:val="24"/>
                <w:rtl/>
              </w:rPr>
              <w:t xml:space="preserve"> </w:t>
            </w:r>
            <w:r w:rsidRPr="00091326">
              <w:rPr>
                <w:rFonts w:hint="eastAsia"/>
                <w:sz w:val="24"/>
                <w:szCs w:val="24"/>
                <w:rtl/>
              </w:rPr>
              <w:t>גרם</w:t>
            </w:r>
            <w:r w:rsidRPr="00091326">
              <w:rPr>
                <w:sz w:val="24"/>
                <w:szCs w:val="24"/>
                <w:rtl/>
              </w:rPr>
              <w:t xml:space="preserve"> </w:t>
            </w:r>
            <w:r w:rsidRPr="00091326">
              <w:rPr>
                <w:rFonts w:hint="eastAsia"/>
                <w:sz w:val="24"/>
                <w:szCs w:val="24"/>
                <w:rtl/>
              </w:rPr>
              <w:t>למותו</w:t>
            </w:r>
            <w:r w:rsidRPr="00091326">
              <w:rPr>
                <w:sz w:val="24"/>
                <w:szCs w:val="24"/>
                <w:rtl/>
              </w:rPr>
              <w:t>;</w:t>
            </w:r>
          </w:p>
          <w:p w:rsidR="00B255A5" w:rsidRPr="00091326" w:rsidRDefault="00B255A5" w:rsidP="0088588B">
            <w:pPr>
              <w:pStyle w:val="TableBlock"/>
              <w:rPr>
                <w:sz w:val="24"/>
                <w:szCs w:val="24"/>
                <w:rtl/>
              </w:rPr>
            </w:pPr>
            <w:r w:rsidRPr="00091326">
              <w:rPr>
                <w:sz w:val="24"/>
                <w:szCs w:val="24"/>
                <w:rtl/>
              </w:rPr>
              <w:t>(3)</w:t>
            </w:r>
            <w:r w:rsidRPr="00091326">
              <w:rPr>
                <w:sz w:val="24"/>
                <w:szCs w:val="24"/>
                <w:rtl/>
              </w:rPr>
              <w:tab/>
            </w:r>
            <w:r w:rsidRPr="00091326">
              <w:rPr>
                <w:rFonts w:hint="eastAsia"/>
                <w:sz w:val="24"/>
                <w:szCs w:val="24"/>
                <w:rtl/>
              </w:rPr>
              <w:t>המעשה</w:t>
            </w:r>
            <w:r w:rsidRPr="00091326">
              <w:rPr>
                <w:sz w:val="24"/>
                <w:szCs w:val="24"/>
                <w:rtl/>
              </w:rPr>
              <w:t xml:space="preserve"> </w:t>
            </w:r>
            <w:r w:rsidRPr="00091326">
              <w:rPr>
                <w:rFonts w:hint="eastAsia"/>
                <w:sz w:val="24"/>
                <w:szCs w:val="24"/>
                <w:rtl/>
              </w:rPr>
              <w:t>נעשה</w:t>
            </w:r>
            <w:r w:rsidRPr="00091326">
              <w:rPr>
                <w:sz w:val="24"/>
                <w:szCs w:val="24"/>
                <w:rtl/>
              </w:rPr>
              <w:t xml:space="preserve"> </w:t>
            </w:r>
            <w:r w:rsidRPr="00091326">
              <w:rPr>
                <w:rFonts w:hint="eastAsia"/>
                <w:sz w:val="24"/>
                <w:szCs w:val="24"/>
                <w:rtl/>
              </w:rPr>
              <w:t>במצב</w:t>
            </w:r>
            <w:r w:rsidRPr="00091326">
              <w:rPr>
                <w:sz w:val="24"/>
                <w:szCs w:val="24"/>
                <w:rtl/>
              </w:rPr>
              <w:t xml:space="preserve"> </w:t>
            </w:r>
            <w:r w:rsidRPr="00091326">
              <w:rPr>
                <w:rFonts w:hint="eastAsia"/>
                <w:sz w:val="24"/>
                <w:szCs w:val="24"/>
                <w:rtl/>
              </w:rPr>
              <w:t>שבו</w:t>
            </w:r>
            <w:r w:rsidRPr="00091326">
              <w:rPr>
                <w:sz w:val="24"/>
                <w:szCs w:val="24"/>
                <w:rtl/>
              </w:rPr>
              <w:t xml:space="preserve">, </w:t>
            </w:r>
            <w:r w:rsidRPr="00091326">
              <w:rPr>
                <w:rFonts w:hint="eastAsia"/>
                <w:sz w:val="24"/>
                <w:szCs w:val="24"/>
                <w:rtl/>
              </w:rPr>
              <w:t>בשל</w:t>
            </w:r>
            <w:r w:rsidRPr="00091326">
              <w:rPr>
                <w:sz w:val="24"/>
                <w:szCs w:val="24"/>
                <w:rtl/>
              </w:rPr>
              <w:t xml:space="preserve"> </w:t>
            </w:r>
            <w:r w:rsidRPr="00091326">
              <w:rPr>
                <w:rFonts w:hint="eastAsia"/>
                <w:sz w:val="24"/>
                <w:szCs w:val="24"/>
                <w:rtl/>
              </w:rPr>
              <w:t>הפרעה</w:t>
            </w:r>
            <w:r w:rsidRPr="00091326">
              <w:rPr>
                <w:sz w:val="24"/>
                <w:szCs w:val="24"/>
                <w:rtl/>
              </w:rPr>
              <w:t xml:space="preserve"> </w:t>
            </w:r>
            <w:r w:rsidRPr="00091326">
              <w:rPr>
                <w:rFonts w:hint="eastAsia"/>
                <w:sz w:val="24"/>
                <w:szCs w:val="24"/>
                <w:rtl/>
              </w:rPr>
              <w:t>נפשית</w:t>
            </w:r>
            <w:r w:rsidRPr="00091326">
              <w:rPr>
                <w:sz w:val="24"/>
                <w:szCs w:val="24"/>
                <w:rtl/>
              </w:rPr>
              <w:t xml:space="preserve"> </w:t>
            </w:r>
            <w:r w:rsidRPr="00091326">
              <w:rPr>
                <w:rFonts w:hint="eastAsia"/>
                <w:sz w:val="24"/>
                <w:szCs w:val="24"/>
                <w:rtl/>
              </w:rPr>
              <w:t>חמורה</w:t>
            </w:r>
            <w:r w:rsidRPr="00091326">
              <w:rPr>
                <w:sz w:val="24"/>
                <w:szCs w:val="24"/>
                <w:rtl/>
              </w:rPr>
              <w:t xml:space="preserve"> </w:t>
            </w:r>
            <w:r w:rsidRPr="00091326">
              <w:rPr>
                <w:rFonts w:hint="eastAsia"/>
                <w:sz w:val="24"/>
                <w:szCs w:val="24"/>
                <w:rtl/>
              </w:rPr>
              <w:t>או</w:t>
            </w:r>
            <w:r w:rsidRPr="00091326">
              <w:rPr>
                <w:sz w:val="24"/>
                <w:szCs w:val="24"/>
                <w:rtl/>
              </w:rPr>
              <w:t xml:space="preserve"> </w:t>
            </w:r>
            <w:r w:rsidRPr="00091326">
              <w:rPr>
                <w:rFonts w:hint="eastAsia"/>
                <w:sz w:val="24"/>
                <w:szCs w:val="24"/>
                <w:rtl/>
              </w:rPr>
              <w:t>בשל</w:t>
            </w:r>
            <w:r w:rsidRPr="00091326">
              <w:rPr>
                <w:sz w:val="24"/>
                <w:szCs w:val="24"/>
                <w:rtl/>
              </w:rPr>
              <w:t xml:space="preserve"> </w:t>
            </w:r>
            <w:r w:rsidRPr="00091326">
              <w:rPr>
                <w:rFonts w:hint="eastAsia"/>
                <w:sz w:val="24"/>
                <w:szCs w:val="24"/>
                <w:rtl/>
              </w:rPr>
              <w:t>ליקוי</w:t>
            </w:r>
            <w:r w:rsidRPr="00091326">
              <w:rPr>
                <w:sz w:val="24"/>
                <w:szCs w:val="24"/>
                <w:rtl/>
              </w:rPr>
              <w:t xml:space="preserve"> </w:t>
            </w:r>
            <w:r w:rsidRPr="00091326">
              <w:rPr>
                <w:rFonts w:hint="eastAsia"/>
                <w:sz w:val="24"/>
                <w:szCs w:val="24"/>
                <w:rtl/>
              </w:rPr>
              <w:t>בכושרו</w:t>
            </w:r>
            <w:r w:rsidRPr="00091326">
              <w:rPr>
                <w:sz w:val="24"/>
                <w:szCs w:val="24"/>
                <w:rtl/>
              </w:rPr>
              <w:t xml:space="preserve"> </w:t>
            </w:r>
            <w:r w:rsidRPr="00091326">
              <w:rPr>
                <w:rFonts w:hint="eastAsia"/>
                <w:sz w:val="24"/>
                <w:szCs w:val="24"/>
                <w:rtl/>
              </w:rPr>
              <w:t>השכלי</w:t>
            </w:r>
            <w:r w:rsidRPr="00091326">
              <w:rPr>
                <w:sz w:val="24"/>
                <w:szCs w:val="24"/>
                <w:rtl/>
              </w:rPr>
              <w:t xml:space="preserve">, </w:t>
            </w:r>
            <w:r w:rsidRPr="00091326">
              <w:rPr>
                <w:rFonts w:hint="eastAsia"/>
                <w:sz w:val="24"/>
                <w:szCs w:val="24"/>
                <w:rtl/>
              </w:rPr>
              <w:t>הוגבלה</w:t>
            </w:r>
            <w:r w:rsidRPr="00091326">
              <w:rPr>
                <w:sz w:val="24"/>
                <w:szCs w:val="24"/>
                <w:rtl/>
              </w:rPr>
              <w:t xml:space="preserve"> </w:t>
            </w:r>
            <w:r w:rsidRPr="00091326">
              <w:rPr>
                <w:rFonts w:hint="eastAsia"/>
                <w:sz w:val="24"/>
                <w:szCs w:val="24"/>
                <w:rtl/>
              </w:rPr>
              <w:t>יכולתו</w:t>
            </w:r>
            <w:r w:rsidRPr="00091326">
              <w:rPr>
                <w:sz w:val="24"/>
                <w:szCs w:val="24"/>
                <w:rtl/>
              </w:rPr>
              <w:t xml:space="preserve"> </w:t>
            </w:r>
            <w:r w:rsidRPr="00091326">
              <w:rPr>
                <w:rFonts w:hint="eastAsia"/>
                <w:sz w:val="24"/>
                <w:szCs w:val="24"/>
                <w:rtl/>
              </w:rPr>
              <w:t>של</w:t>
            </w:r>
            <w:r w:rsidRPr="00091326">
              <w:rPr>
                <w:sz w:val="24"/>
                <w:szCs w:val="24"/>
                <w:rtl/>
              </w:rPr>
              <w:t xml:space="preserve"> </w:t>
            </w:r>
            <w:r w:rsidRPr="00091326">
              <w:rPr>
                <w:rFonts w:hint="eastAsia"/>
                <w:sz w:val="24"/>
                <w:szCs w:val="24"/>
                <w:rtl/>
              </w:rPr>
              <w:t>הנאשם</w:t>
            </w:r>
            <w:r w:rsidRPr="00091326">
              <w:rPr>
                <w:sz w:val="24"/>
                <w:szCs w:val="24"/>
                <w:rtl/>
              </w:rPr>
              <w:t xml:space="preserve"> </w:t>
            </w:r>
            <w:r w:rsidRPr="00091326">
              <w:rPr>
                <w:rFonts w:hint="eastAsia"/>
                <w:sz w:val="24"/>
                <w:szCs w:val="24"/>
                <w:rtl/>
              </w:rPr>
              <w:t>במידה</w:t>
            </w:r>
            <w:r w:rsidRPr="00091326">
              <w:rPr>
                <w:sz w:val="24"/>
                <w:szCs w:val="24"/>
                <w:rtl/>
              </w:rPr>
              <w:t xml:space="preserve"> </w:t>
            </w:r>
            <w:r w:rsidRPr="00091326">
              <w:rPr>
                <w:rFonts w:hint="eastAsia"/>
                <w:sz w:val="24"/>
                <w:szCs w:val="24"/>
                <w:rtl/>
              </w:rPr>
              <w:t>ניכרת</w:t>
            </w:r>
            <w:r w:rsidRPr="00091326">
              <w:rPr>
                <w:sz w:val="24"/>
                <w:szCs w:val="24"/>
                <w:rtl/>
              </w:rPr>
              <w:t xml:space="preserve">, </w:t>
            </w:r>
            <w:r w:rsidRPr="00091326">
              <w:rPr>
                <w:rFonts w:hint="eastAsia"/>
                <w:sz w:val="24"/>
                <w:szCs w:val="24"/>
                <w:rtl/>
              </w:rPr>
              <w:t>אך</w:t>
            </w:r>
            <w:r w:rsidRPr="00091326">
              <w:rPr>
                <w:sz w:val="24"/>
                <w:szCs w:val="24"/>
                <w:rtl/>
              </w:rPr>
              <w:t xml:space="preserve"> </w:t>
            </w:r>
            <w:r w:rsidRPr="00091326">
              <w:rPr>
                <w:rFonts w:hint="eastAsia"/>
                <w:sz w:val="24"/>
                <w:szCs w:val="24"/>
                <w:rtl/>
              </w:rPr>
              <w:t>לא</w:t>
            </w:r>
            <w:r w:rsidRPr="00091326">
              <w:rPr>
                <w:sz w:val="24"/>
                <w:szCs w:val="24"/>
                <w:rtl/>
              </w:rPr>
              <w:t xml:space="preserve"> </w:t>
            </w:r>
            <w:r w:rsidRPr="00091326">
              <w:rPr>
                <w:rFonts w:hint="eastAsia"/>
                <w:sz w:val="24"/>
                <w:szCs w:val="24"/>
                <w:rtl/>
              </w:rPr>
              <w:t>עד</w:t>
            </w:r>
            <w:r w:rsidRPr="00091326">
              <w:rPr>
                <w:sz w:val="24"/>
                <w:szCs w:val="24"/>
                <w:rtl/>
              </w:rPr>
              <w:t xml:space="preserve"> </w:t>
            </w:r>
            <w:r w:rsidRPr="00091326">
              <w:rPr>
                <w:rFonts w:hint="eastAsia"/>
                <w:sz w:val="24"/>
                <w:szCs w:val="24"/>
                <w:rtl/>
              </w:rPr>
              <w:t>כדי</w:t>
            </w:r>
            <w:r w:rsidRPr="00091326">
              <w:rPr>
                <w:sz w:val="24"/>
                <w:szCs w:val="24"/>
                <w:rtl/>
              </w:rPr>
              <w:t xml:space="preserve"> </w:t>
            </w:r>
            <w:r w:rsidRPr="00091326">
              <w:rPr>
                <w:rFonts w:hint="eastAsia"/>
                <w:sz w:val="24"/>
                <w:szCs w:val="24"/>
                <w:rtl/>
              </w:rPr>
              <w:t>חוסר</w:t>
            </w:r>
            <w:r w:rsidRPr="00091326">
              <w:rPr>
                <w:sz w:val="24"/>
                <w:szCs w:val="24"/>
                <w:rtl/>
              </w:rPr>
              <w:t xml:space="preserve"> </w:t>
            </w:r>
            <w:r w:rsidRPr="00091326">
              <w:rPr>
                <w:rFonts w:hint="eastAsia"/>
                <w:sz w:val="24"/>
                <w:szCs w:val="24"/>
                <w:rtl/>
              </w:rPr>
              <w:t>יכולת</w:t>
            </w:r>
            <w:r w:rsidRPr="00091326">
              <w:rPr>
                <w:sz w:val="24"/>
                <w:szCs w:val="24"/>
                <w:rtl/>
              </w:rPr>
              <w:t xml:space="preserve"> </w:t>
            </w:r>
            <w:r w:rsidRPr="00091326">
              <w:rPr>
                <w:rFonts w:hint="eastAsia"/>
                <w:sz w:val="24"/>
                <w:szCs w:val="24"/>
                <w:rtl/>
              </w:rPr>
              <w:t>של</w:t>
            </w:r>
            <w:r w:rsidRPr="00091326">
              <w:rPr>
                <w:sz w:val="24"/>
                <w:szCs w:val="24"/>
                <w:rtl/>
              </w:rPr>
              <w:t xml:space="preserve"> </w:t>
            </w:r>
            <w:r w:rsidRPr="00091326">
              <w:rPr>
                <w:rFonts w:hint="eastAsia"/>
                <w:sz w:val="24"/>
                <w:szCs w:val="24"/>
                <w:rtl/>
              </w:rPr>
              <w:t>ממש</w:t>
            </w:r>
            <w:r w:rsidRPr="00091326">
              <w:rPr>
                <w:sz w:val="24"/>
                <w:szCs w:val="24"/>
                <w:rtl/>
              </w:rPr>
              <w:t xml:space="preserve"> </w:t>
            </w:r>
            <w:r w:rsidRPr="00091326">
              <w:rPr>
                <w:rFonts w:hint="eastAsia"/>
                <w:sz w:val="24"/>
                <w:szCs w:val="24"/>
                <w:rtl/>
              </w:rPr>
              <w:t>כאמור</w:t>
            </w:r>
            <w:r w:rsidRPr="00091326">
              <w:rPr>
                <w:sz w:val="24"/>
                <w:szCs w:val="24"/>
                <w:rtl/>
              </w:rPr>
              <w:t xml:space="preserve"> </w:t>
            </w:r>
            <w:r w:rsidRPr="00091326">
              <w:rPr>
                <w:rFonts w:hint="eastAsia"/>
                <w:sz w:val="24"/>
                <w:szCs w:val="24"/>
                <w:rtl/>
              </w:rPr>
              <w:t>בסעיף</w:t>
            </w:r>
            <w:r w:rsidRPr="00091326">
              <w:rPr>
                <w:sz w:val="24"/>
                <w:szCs w:val="24"/>
                <w:rtl/>
              </w:rPr>
              <w:t xml:space="preserve"> 34</w:t>
            </w:r>
            <w:r w:rsidRPr="00091326">
              <w:rPr>
                <w:rFonts w:hint="eastAsia"/>
                <w:sz w:val="24"/>
                <w:szCs w:val="24"/>
                <w:rtl/>
              </w:rPr>
              <w:t>ח</w:t>
            </w:r>
            <w:r w:rsidRPr="00091326">
              <w:rPr>
                <w:sz w:val="24"/>
                <w:szCs w:val="24"/>
                <w:rtl/>
              </w:rPr>
              <w:t xml:space="preserve"> –</w:t>
            </w:r>
          </w:p>
          <w:p w:rsidR="00B255A5" w:rsidRPr="00091326" w:rsidRDefault="00B255A5" w:rsidP="0088588B">
            <w:pPr>
              <w:pStyle w:val="TableBlock"/>
              <w:ind w:left="624"/>
              <w:rPr>
                <w:sz w:val="24"/>
                <w:szCs w:val="24"/>
                <w:rtl/>
              </w:rPr>
            </w:pPr>
            <w:r w:rsidRPr="00091326">
              <w:rPr>
                <w:sz w:val="24"/>
                <w:szCs w:val="24"/>
                <w:rtl/>
              </w:rPr>
              <w:t>(</w:t>
            </w:r>
            <w:r w:rsidRPr="00091326">
              <w:rPr>
                <w:rFonts w:hint="eastAsia"/>
                <w:sz w:val="24"/>
                <w:szCs w:val="24"/>
                <w:rtl/>
              </w:rPr>
              <w:t>א</w:t>
            </w:r>
            <w:r w:rsidRPr="00091326">
              <w:rPr>
                <w:sz w:val="24"/>
                <w:szCs w:val="24"/>
                <w:rtl/>
              </w:rPr>
              <w:t>)</w:t>
            </w:r>
            <w:r w:rsidRPr="00091326">
              <w:rPr>
                <w:sz w:val="24"/>
                <w:szCs w:val="24"/>
                <w:rtl/>
              </w:rPr>
              <w:tab/>
            </w:r>
            <w:r w:rsidRPr="00091326">
              <w:rPr>
                <w:rFonts w:hint="eastAsia"/>
                <w:sz w:val="24"/>
                <w:szCs w:val="24"/>
                <w:rtl/>
              </w:rPr>
              <w:t>להבין</w:t>
            </w:r>
            <w:r w:rsidRPr="00091326">
              <w:rPr>
                <w:sz w:val="24"/>
                <w:szCs w:val="24"/>
                <w:rtl/>
              </w:rPr>
              <w:t xml:space="preserve"> </w:t>
            </w:r>
            <w:r w:rsidRPr="00091326">
              <w:rPr>
                <w:rFonts w:hint="eastAsia"/>
                <w:sz w:val="24"/>
                <w:szCs w:val="24"/>
                <w:rtl/>
              </w:rPr>
              <w:t>את</w:t>
            </w:r>
            <w:r w:rsidRPr="00091326">
              <w:rPr>
                <w:sz w:val="24"/>
                <w:szCs w:val="24"/>
                <w:rtl/>
              </w:rPr>
              <w:t xml:space="preserve"> </w:t>
            </w:r>
            <w:r w:rsidRPr="00091326">
              <w:rPr>
                <w:rFonts w:hint="eastAsia"/>
                <w:sz w:val="24"/>
                <w:szCs w:val="24"/>
                <w:rtl/>
              </w:rPr>
              <w:t>אשר</w:t>
            </w:r>
            <w:r w:rsidRPr="00091326">
              <w:rPr>
                <w:sz w:val="24"/>
                <w:szCs w:val="24"/>
                <w:rtl/>
              </w:rPr>
              <w:t xml:space="preserve"> </w:t>
            </w:r>
            <w:r w:rsidRPr="00091326">
              <w:rPr>
                <w:rFonts w:hint="eastAsia"/>
                <w:sz w:val="24"/>
                <w:szCs w:val="24"/>
                <w:rtl/>
              </w:rPr>
              <w:t>הוא</w:t>
            </w:r>
            <w:r w:rsidRPr="00091326">
              <w:rPr>
                <w:sz w:val="24"/>
                <w:szCs w:val="24"/>
                <w:rtl/>
              </w:rPr>
              <w:t xml:space="preserve"> </w:t>
            </w:r>
            <w:r w:rsidRPr="00091326">
              <w:rPr>
                <w:rFonts w:hint="eastAsia"/>
                <w:sz w:val="24"/>
                <w:szCs w:val="24"/>
                <w:rtl/>
              </w:rPr>
              <w:t>עושה</w:t>
            </w:r>
            <w:r w:rsidRPr="00091326">
              <w:rPr>
                <w:sz w:val="24"/>
                <w:szCs w:val="24"/>
                <w:rtl/>
              </w:rPr>
              <w:t xml:space="preserve"> </w:t>
            </w:r>
            <w:r w:rsidRPr="00091326">
              <w:rPr>
                <w:rFonts w:hint="eastAsia"/>
                <w:sz w:val="24"/>
                <w:szCs w:val="24"/>
                <w:rtl/>
              </w:rPr>
              <w:t>או</w:t>
            </w:r>
            <w:r w:rsidRPr="00091326">
              <w:rPr>
                <w:sz w:val="24"/>
                <w:szCs w:val="24"/>
                <w:rtl/>
              </w:rPr>
              <w:t xml:space="preserve"> </w:t>
            </w:r>
            <w:r w:rsidRPr="00091326">
              <w:rPr>
                <w:rFonts w:hint="eastAsia"/>
                <w:sz w:val="24"/>
                <w:szCs w:val="24"/>
                <w:rtl/>
              </w:rPr>
              <w:t>את</w:t>
            </w:r>
            <w:r w:rsidRPr="00091326">
              <w:rPr>
                <w:sz w:val="24"/>
                <w:szCs w:val="24"/>
                <w:rtl/>
              </w:rPr>
              <w:t xml:space="preserve"> </w:t>
            </w:r>
            <w:r w:rsidRPr="00091326">
              <w:rPr>
                <w:rFonts w:hint="eastAsia"/>
                <w:sz w:val="24"/>
                <w:szCs w:val="24"/>
                <w:rtl/>
              </w:rPr>
              <w:t>הפסול</w:t>
            </w:r>
            <w:r w:rsidRPr="00091326">
              <w:rPr>
                <w:sz w:val="24"/>
                <w:szCs w:val="24"/>
                <w:rtl/>
              </w:rPr>
              <w:t xml:space="preserve"> </w:t>
            </w:r>
            <w:r w:rsidRPr="00091326">
              <w:rPr>
                <w:rFonts w:hint="eastAsia"/>
                <w:sz w:val="24"/>
                <w:szCs w:val="24"/>
                <w:rtl/>
              </w:rPr>
              <w:t>שבמעשהו</w:t>
            </w:r>
            <w:r w:rsidRPr="00091326">
              <w:rPr>
                <w:sz w:val="24"/>
                <w:szCs w:val="24"/>
                <w:rtl/>
              </w:rPr>
              <w:t xml:space="preserve">; </w:t>
            </w:r>
            <w:r w:rsidRPr="00091326">
              <w:rPr>
                <w:rFonts w:hint="eastAsia"/>
                <w:sz w:val="24"/>
                <w:szCs w:val="24"/>
                <w:rtl/>
              </w:rPr>
              <w:t>או</w:t>
            </w:r>
          </w:p>
          <w:p w:rsidR="00B255A5" w:rsidRPr="00091326" w:rsidRDefault="00B255A5" w:rsidP="0088588B">
            <w:pPr>
              <w:pStyle w:val="TableBlock"/>
              <w:ind w:left="624"/>
              <w:rPr>
                <w:sz w:val="24"/>
                <w:szCs w:val="24"/>
                <w:rtl/>
              </w:rPr>
            </w:pPr>
            <w:r w:rsidRPr="00091326">
              <w:rPr>
                <w:sz w:val="24"/>
                <w:szCs w:val="24"/>
                <w:rtl/>
              </w:rPr>
              <w:t>(</w:t>
            </w:r>
            <w:r w:rsidRPr="00091326">
              <w:rPr>
                <w:rFonts w:hint="eastAsia"/>
                <w:sz w:val="24"/>
                <w:szCs w:val="24"/>
                <w:rtl/>
              </w:rPr>
              <w:t>ב</w:t>
            </w:r>
            <w:r w:rsidRPr="00091326">
              <w:rPr>
                <w:sz w:val="24"/>
                <w:szCs w:val="24"/>
                <w:rtl/>
              </w:rPr>
              <w:t>)</w:t>
            </w:r>
            <w:r w:rsidRPr="00091326">
              <w:rPr>
                <w:sz w:val="24"/>
                <w:szCs w:val="24"/>
                <w:rtl/>
              </w:rPr>
              <w:tab/>
            </w:r>
            <w:r w:rsidRPr="00091326">
              <w:rPr>
                <w:rFonts w:hint="eastAsia"/>
                <w:sz w:val="24"/>
                <w:szCs w:val="24"/>
                <w:rtl/>
              </w:rPr>
              <w:t>להימנע</w:t>
            </w:r>
            <w:r w:rsidRPr="00091326">
              <w:rPr>
                <w:sz w:val="24"/>
                <w:szCs w:val="24"/>
                <w:rtl/>
              </w:rPr>
              <w:t xml:space="preserve"> </w:t>
            </w:r>
            <w:r w:rsidRPr="00091326">
              <w:rPr>
                <w:rFonts w:hint="eastAsia"/>
                <w:sz w:val="24"/>
                <w:szCs w:val="24"/>
                <w:rtl/>
              </w:rPr>
              <w:t>מעשיית</w:t>
            </w:r>
            <w:r w:rsidRPr="00091326">
              <w:rPr>
                <w:sz w:val="24"/>
                <w:szCs w:val="24"/>
                <w:rtl/>
              </w:rPr>
              <w:t xml:space="preserve"> </w:t>
            </w:r>
            <w:r w:rsidRPr="00091326">
              <w:rPr>
                <w:rFonts w:hint="eastAsia"/>
                <w:sz w:val="24"/>
                <w:szCs w:val="24"/>
                <w:rtl/>
              </w:rPr>
              <w:t>המעשה</w:t>
            </w:r>
            <w:r w:rsidRPr="00091326">
              <w:rPr>
                <w:sz w:val="24"/>
                <w:szCs w:val="24"/>
                <w:rtl/>
              </w:rPr>
              <w:t>;</w:t>
            </w:r>
          </w:p>
          <w:p w:rsidR="00B255A5" w:rsidRPr="00091326" w:rsidRDefault="00B255A5" w:rsidP="0088588B">
            <w:pPr>
              <w:pStyle w:val="TableBlock"/>
              <w:rPr>
                <w:sz w:val="24"/>
                <w:szCs w:val="24"/>
                <w:rtl/>
              </w:rPr>
            </w:pPr>
            <w:r w:rsidRPr="00091326">
              <w:rPr>
                <w:sz w:val="24"/>
                <w:szCs w:val="24"/>
                <w:rtl/>
              </w:rPr>
              <w:t>(4)</w:t>
            </w:r>
            <w:r w:rsidRPr="00091326">
              <w:rPr>
                <w:sz w:val="24"/>
                <w:szCs w:val="24"/>
                <w:rtl/>
              </w:rPr>
              <w:tab/>
            </w:r>
            <w:r w:rsidRPr="00091326">
              <w:rPr>
                <w:rFonts w:hint="eastAsia"/>
                <w:sz w:val="24"/>
                <w:szCs w:val="24"/>
                <w:rtl/>
              </w:rPr>
              <w:t>המעשה</w:t>
            </w:r>
            <w:r w:rsidRPr="00091326">
              <w:rPr>
                <w:sz w:val="24"/>
                <w:szCs w:val="24"/>
                <w:rtl/>
              </w:rPr>
              <w:t xml:space="preserve"> </w:t>
            </w:r>
            <w:r w:rsidRPr="00091326">
              <w:rPr>
                <w:rFonts w:hint="eastAsia"/>
                <w:sz w:val="24"/>
                <w:szCs w:val="24"/>
                <w:rtl/>
              </w:rPr>
              <w:t>נעשה</w:t>
            </w:r>
            <w:r w:rsidRPr="00091326">
              <w:rPr>
                <w:sz w:val="24"/>
                <w:szCs w:val="24"/>
                <w:rtl/>
              </w:rPr>
              <w:t xml:space="preserve"> </w:t>
            </w:r>
            <w:r w:rsidRPr="00091326">
              <w:rPr>
                <w:rFonts w:hint="eastAsia"/>
                <w:sz w:val="24"/>
                <w:szCs w:val="24"/>
                <w:rtl/>
              </w:rPr>
              <w:t>במצב</w:t>
            </w:r>
            <w:r w:rsidRPr="00091326">
              <w:rPr>
                <w:sz w:val="24"/>
                <w:szCs w:val="24"/>
                <w:rtl/>
              </w:rPr>
              <w:t xml:space="preserve"> </w:t>
            </w:r>
            <w:r w:rsidRPr="00091326">
              <w:rPr>
                <w:rFonts w:hint="eastAsia"/>
                <w:sz w:val="24"/>
                <w:szCs w:val="24"/>
                <w:rtl/>
              </w:rPr>
              <w:t>שבו</w:t>
            </w:r>
            <w:r w:rsidRPr="00091326">
              <w:rPr>
                <w:sz w:val="24"/>
                <w:szCs w:val="24"/>
                <w:rtl/>
              </w:rPr>
              <w:t xml:space="preserve"> </w:t>
            </w:r>
            <w:r w:rsidRPr="00091326">
              <w:rPr>
                <w:rFonts w:hint="eastAsia"/>
                <w:sz w:val="24"/>
                <w:szCs w:val="24"/>
                <w:rtl/>
              </w:rPr>
              <w:t>מעשהו</w:t>
            </w:r>
            <w:r w:rsidRPr="00091326">
              <w:rPr>
                <w:sz w:val="24"/>
                <w:szCs w:val="24"/>
                <w:rtl/>
              </w:rPr>
              <w:t xml:space="preserve"> </w:t>
            </w:r>
            <w:r w:rsidRPr="00091326">
              <w:rPr>
                <w:rFonts w:hint="eastAsia"/>
                <w:sz w:val="24"/>
                <w:szCs w:val="24"/>
                <w:rtl/>
              </w:rPr>
              <w:t>של</w:t>
            </w:r>
            <w:r w:rsidRPr="00091326">
              <w:rPr>
                <w:sz w:val="24"/>
                <w:szCs w:val="24"/>
                <w:rtl/>
              </w:rPr>
              <w:t xml:space="preserve"> </w:t>
            </w:r>
            <w:r w:rsidRPr="00091326">
              <w:rPr>
                <w:rFonts w:hint="eastAsia"/>
                <w:sz w:val="24"/>
                <w:szCs w:val="24"/>
                <w:rtl/>
              </w:rPr>
              <w:t>הנאשם</w:t>
            </w:r>
            <w:r w:rsidRPr="00091326">
              <w:rPr>
                <w:sz w:val="24"/>
                <w:szCs w:val="24"/>
                <w:rtl/>
              </w:rPr>
              <w:t xml:space="preserve"> </w:t>
            </w:r>
            <w:r w:rsidRPr="00091326">
              <w:rPr>
                <w:rFonts w:hint="eastAsia"/>
                <w:sz w:val="24"/>
                <w:szCs w:val="24"/>
                <w:rtl/>
              </w:rPr>
              <w:t>חרג</w:t>
            </w:r>
            <w:r w:rsidRPr="00091326">
              <w:rPr>
                <w:sz w:val="24"/>
                <w:szCs w:val="24"/>
                <w:rtl/>
              </w:rPr>
              <w:t xml:space="preserve"> </w:t>
            </w:r>
            <w:r w:rsidRPr="00091326">
              <w:rPr>
                <w:rFonts w:hint="eastAsia"/>
                <w:sz w:val="24"/>
                <w:szCs w:val="24"/>
                <w:rtl/>
              </w:rPr>
              <w:t>במידה</w:t>
            </w:r>
            <w:r w:rsidRPr="00091326">
              <w:rPr>
                <w:sz w:val="24"/>
                <w:szCs w:val="24"/>
                <w:rtl/>
              </w:rPr>
              <w:t xml:space="preserve"> </w:t>
            </w:r>
            <w:r w:rsidRPr="00091326">
              <w:rPr>
                <w:rFonts w:hint="eastAsia"/>
                <w:sz w:val="24"/>
                <w:szCs w:val="24"/>
                <w:rtl/>
              </w:rPr>
              <w:t>מועטה</w:t>
            </w:r>
            <w:r w:rsidRPr="00091326">
              <w:rPr>
                <w:sz w:val="24"/>
                <w:szCs w:val="24"/>
                <w:rtl/>
              </w:rPr>
              <w:t xml:space="preserve"> </w:t>
            </w:r>
            <w:r w:rsidRPr="00091326">
              <w:rPr>
                <w:rFonts w:hint="eastAsia"/>
                <w:sz w:val="24"/>
                <w:szCs w:val="24"/>
                <w:rtl/>
              </w:rPr>
              <w:t>מתחולת</w:t>
            </w:r>
            <w:r w:rsidRPr="00091326">
              <w:rPr>
                <w:sz w:val="24"/>
                <w:szCs w:val="24"/>
                <w:rtl/>
              </w:rPr>
              <w:t xml:space="preserve"> </w:t>
            </w:r>
            <w:r w:rsidRPr="00091326">
              <w:rPr>
                <w:rFonts w:hint="eastAsia"/>
                <w:sz w:val="24"/>
                <w:szCs w:val="24"/>
                <w:rtl/>
              </w:rPr>
              <w:t>סייג</w:t>
            </w:r>
            <w:r w:rsidRPr="00091326">
              <w:rPr>
                <w:sz w:val="24"/>
                <w:szCs w:val="24"/>
                <w:rtl/>
              </w:rPr>
              <w:t xml:space="preserve"> </w:t>
            </w:r>
            <w:r w:rsidRPr="00091326">
              <w:rPr>
                <w:rFonts w:hint="eastAsia"/>
                <w:sz w:val="24"/>
                <w:szCs w:val="24"/>
                <w:rtl/>
              </w:rPr>
              <w:t>לאחריות</w:t>
            </w:r>
            <w:r w:rsidRPr="00091326">
              <w:rPr>
                <w:sz w:val="24"/>
                <w:szCs w:val="24"/>
                <w:rtl/>
              </w:rPr>
              <w:t xml:space="preserve"> </w:t>
            </w:r>
            <w:r w:rsidRPr="00091326">
              <w:rPr>
                <w:rFonts w:hint="eastAsia"/>
                <w:sz w:val="24"/>
                <w:szCs w:val="24"/>
                <w:rtl/>
              </w:rPr>
              <w:t>לפי</w:t>
            </w:r>
            <w:r w:rsidRPr="00091326">
              <w:rPr>
                <w:sz w:val="24"/>
                <w:szCs w:val="24"/>
                <w:rtl/>
              </w:rPr>
              <w:t xml:space="preserve"> </w:t>
            </w:r>
            <w:r w:rsidRPr="00091326">
              <w:rPr>
                <w:rFonts w:hint="eastAsia"/>
                <w:sz w:val="24"/>
                <w:szCs w:val="24"/>
                <w:rtl/>
              </w:rPr>
              <w:t>סעיפים</w:t>
            </w:r>
            <w:r w:rsidRPr="00091326">
              <w:rPr>
                <w:sz w:val="24"/>
                <w:szCs w:val="24"/>
                <w:rtl/>
              </w:rPr>
              <w:t xml:space="preserve"> 34</w:t>
            </w:r>
            <w:r w:rsidRPr="00091326">
              <w:rPr>
                <w:rFonts w:hint="eastAsia"/>
                <w:sz w:val="24"/>
                <w:szCs w:val="24"/>
                <w:rtl/>
              </w:rPr>
              <w:t>י</w:t>
            </w:r>
            <w:r w:rsidRPr="00091326">
              <w:rPr>
                <w:sz w:val="24"/>
                <w:szCs w:val="24"/>
                <w:rtl/>
              </w:rPr>
              <w:t>, 34</w:t>
            </w:r>
            <w:r w:rsidRPr="00091326">
              <w:rPr>
                <w:rFonts w:hint="eastAsia"/>
                <w:sz w:val="24"/>
                <w:szCs w:val="24"/>
                <w:rtl/>
              </w:rPr>
              <w:t>יא</w:t>
            </w:r>
            <w:r w:rsidRPr="00091326">
              <w:rPr>
                <w:sz w:val="24"/>
                <w:szCs w:val="24"/>
                <w:rtl/>
              </w:rPr>
              <w:t>, 34</w:t>
            </w:r>
            <w:r w:rsidRPr="00091326">
              <w:rPr>
                <w:rFonts w:hint="eastAsia"/>
                <w:sz w:val="24"/>
                <w:szCs w:val="24"/>
                <w:rtl/>
              </w:rPr>
              <w:t>יב</w:t>
            </w:r>
            <w:r w:rsidRPr="00091326">
              <w:rPr>
                <w:sz w:val="24"/>
                <w:szCs w:val="24"/>
                <w:rtl/>
              </w:rPr>
              <w:t xml:space="preserve"> </w:t>
            </w:r>
            <w:r w:rsidRPr="00091326">
              <w:rPr>
                <w:rFonts w:hint="eastAsia"/>
                <w:sz w:val="24"/>
                <w:szCs w:val="24"/>
                <w:rtl/>
              </w:rPr>
              <w:t>או</w:t>
            </w:r>
            <w:r w:rsidRPr="00091326">
              <w:rPr>
                <w:sz w:val="24"/>
                <w:szCs w:val="24"/>
                <w:rtl/>
              </w:rPr>
              <w:t xml:space="preserve"> 34</w:t>
            </w:r>
            <w:r w:rsidRPr="00091326">
              <w:rPr>
                <w:rFonts w:hint="eastAsia"/>
                <w:sz w:val="24"/>
                <w:szCs w:val="24"/>
                <w:rtl/>
              </w:rPr>
              <w:t>יג</w:t>
            </w:r>
            <w:r w:rsidRPr="00091326">
              <w:rPr>
                <w:sz w:val="24"/>
                <w:szCs w:val="24"/>
                <w:rtl/>
              </w:rPr>
              <w:t xml:space="preserve">(3), </w:t>
            </w:r>
            <w:r w:rsidRPr="00091326">
              <w:rPr>
                <w:rFonts w:hint="eastAsia"/>
                <w:sz w:val="24"/>
                <w:szCs w:val="24"/>
                <w:rtl/>
              </w:rPr>
              <w:t>ויש</w:t>
            </w:r>
            <w:r w:rsidRPr="00091326">
              <w:rPr>
                <w:sz w:val="24"/>
                <w:szCs w:val="24"/>
                <w:rtl/>
              </w:rPr>
              <w:t xml:space="preserve"> </w:t>
            </w:r>
            <w:r w:rsidRPr="00091326">
              <w:rPr>
                <w:rFonts w:hint="eastAsia"/>
                <w:sz w:val="24"/>
                <w:szCs w:val="24"/>
                <w:rtl/>
              </w:rPr>
              <w:t>בנסיבות</w:t>
            </w:r>
            <w:r w:rsidRPr="00091326">
              <w:rPr>
                <w:sz w:val="24"/>
                <w:szCs w:val="24"/>
                <w:rtl/>
              </w:rPr>
              <w:t xml:space="preserve"> </w:t>
            </w:r>
            <w:r w:rsidRPr="00091326">
              <w:rPr>
                <w:rFonts w:hint="eastAsia"/>
                <w:sz w:val="24"/>
                <w:szCs w:val="24"/>
                <w:rtl/>
              </w:rPr>
              <w:t>העניין</w:t>
            </w:r>
            <w:r w:rsidRPr="00091326">
              <w:rPr>
                <w:sz w:val="24"/>
                <w:szCs w:val="24"/>
                <w:rtl/>
              </w:rPr>
              <w:t xml:space="preserve"> </w:t>
            </w:r>
            <w:r w:rsidRPr="00091326">
              <w:rPr>
                <w:rFonts w:hint="eastAsia"/>
                <w:sz w:val="24"/>
                <w:szCs w:val="24"/>
                <w:rtl/>
              </w:rPr>
              <w:t>כדי</w:t>
            </w:r>
            <w:r w:rsidRPr="00091326">
              <w:rPr>
                <w:sz w:val="24"/>
                <w:szCs w:val="24"/>
                <w:rtl/>
              </w:rPr>
              <w:t xml:space="preserve"> </w:t>
            </w:r>
            <w:r w:rsidRPr="00091326">
              <w:rPr>
                <w:rFonts w:hint="eastAsia"/>
                <w:sz w:val="24"/>
                <w:szCs w:val="24"/>
                <w:rtl/>
              </w:rPr>
              <w:t>למתן</w:t>
            </w:r>
            <w:r w:rsidRPr="00091326">
              <w:rPr>
                <w:sz w:val="24"/>
                <w:szCs w:val="24"/>
                <w:rtl/>
              </w:rPr>
              <w:t xml:space="preserve"> </w:t>
            </w:r>
            <w:r w:rsidRPr="00091326">
              <w:rPr>
                <w:rFonts w:hint="eastAsia"/>
                <w:sz w:val="24"/>
                <w:szCs w:val="24"/>
                <w:rtl/>
              </w:rPr>
              <w:t>את</w:t>
            </w:r>
            <w:r w:rsidRPr="00091326">
              <w:rPr>
                <w:sz w:val="24"/>
                <w:szCs w:val="24"/>
                <w:rtl/>
              </w:rPr>
              <w:t xml:space="preserve"> </w:t>
            </w:r>
            <w:r w:rsidRPr="00091326">
              <w:rPr>
                <w:rFonts w:hint="eastAsia"/>
                <w:sz w:val="24"/>
                <w:szCs w:val="24"/>
                <w:rtl/>
              </w:rPr>
              <w:t>אשמתו</w:t>
            </w:r>
            <w:r w:rsidRPr="00091326">
              <w:rPr>
                <w:sz w:val="24"/>
                <w:szCs w:val="24"/>
                <w:rtl/>
              </w:rPr>
              <w:t>.</w:t>
            </w:r>
          </w:p>
          <w:p w:rsidR="00B255A5" w:rsidRPr="00091326" w:rsidRDefault="00B255A5" w:rsidP="0088588B">
            <w:pPr>
              <w:spacing w:after="120" w:line="360" w:lineRule="auto"/>
              <w:jc w:val="both"/>
              <w:rPr>
                <w:rFonts w:ascii="Arial" w:eastAsia="Arial Unicode MS" w:hAnsi="Arial" w:cs="David"/>
                <w:snapToGrid w:val="0"/>
                <w:color w:val="000000"/>
                <w:sz w:val="24"/>
                <w:szCs w:val="24"/>
                <w:rtl/>
                <w:lang w:eastAsia="ja-JP"/>
              </w:rPr>
            </w:pPr>
            <w:r w:rsidRPr="00091326">
              <w:rPr>
                <w:rFonts w:ascii="Arial" w:eastAsia="Arial Unicode MS" w:hAnsi="Arial" w:cs="David"/>
                <w:snapToGrid w:val="0"/>
                <w:color w:val="000000"/>
                <w:sz w:val="24"/>
                <w:szCs w:val="24"/>
                <w:rtl/>
                <w:lang w:eastAsia="ja-JP"/>
              </w:rPr>
              <w:t>(</w:t>
            </w:r>
            <w:r w:rsidRPr="00091326">
              <w:rPr>
                <w:rFonts w:ascii="Arial" w:eastAsia="Arial Unicode MS" w:hAnsi="Arial" w:cs="David" w:hint="eastAsia"/>
                <w:snapToGrid w:val="0"/>
                <w:color w:val="000000"/>
                <w:sz w:val="24"/>
                <w:szCs w:val="24"/>
                <w:rtl/>
                <w:lang w:eastAsia="ja-JP"/>
              </w:rPr>
              <w:t>ב</w:t>
            </w:r>
            <w:r w:rsidRPr="00091326">
              <w:rPr>
                <w:rFonts w:ascii="Arial" w:eastAsia="Arial Unicode MS" w:hAnsi="Arial" w:cs="David"/>
                <w:snapToGrid w:val="0"/>
                <w:color w:val="000000"/>
                <w:sz w:val="24"/>
                <w:szCs w:val="24"/>
                <w:rtl/>
                <w:lang w:eastAsia="ja-JP"/>
              </w:rPr>
              <w:t>)</w:t>
            </w:r>
            <w:r w:rsidRPr="00091326">
              <w:rPr>
                <w:rFonts w:ascii="Arial" w:eastAsia="Arial Unicode MS" w:hAnsi="Arial" w:cs="David"/>
                <w:snapToGrid w:val="0"/>
                <w:color w:val="000000"/>
                <w:sz w:val="24"/>
                <w:szCs w:val="24"/>
                <w:rtl/>
                <w:lang w:eastAsia="ja-JP"/>
              </w:rPr>
              <w:tab/>
            </w:r>
            <w:r w:rsidRPr="00091326">
              <w:rPr>
                <w:rFonts w:ascii="Arial" w:eastAsia="Arial Unicode MS" w:hAnsi="Arial" w:cs="David" w:hint="eastAsia"/>
                <w:snapToGrid w:val="0"/>
                <w:color w:val="000000"/>
                <w:sz w:val="24"/>
                <w:szCs w:val="24"/>
                <w:rtl/>
                <w:lang w:eastAsia="ja-JP"/>
              </w:rPr>
              <w:t>על</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אף</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האמור</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בסעיפים</w:t>
            </w:r>
            <w:r w:rsidRPr="00091326">
              <w:rPr>
                <w:rFonts w:ascii="Arial" w:eastAsia="Arial Unicode MS" w:hAnsi="Arial" w:cs="David"/>
                <w:snapToGrid w:val="0"/>
                <w:color w:val="000000"/>
                <w:sz w:val="24"/>
                <w:szCs w:val="24"/>
                <w:rtl/>
                <w:lang w:eastAsia="ja-JP"/>
              </w:rPr>
              <w:t xml:space="preserve"> 300 </w:t>
            </w:r>
            <w:r w:rsidRPr="00091326">
              <w:rPr>
                <w:rFonts w:ascii="Arial" w:eastAsia="Arial Unicode MS" w:hAnsi="Arial" w:cs="David" w:hint="eastAsia"/>
                <w:snapToGrid w:val="0"/>
                <w:color w:val="000000"/>
                <w:sz w:val="24"/>
                <w:szCs w:val="24"/>
                <w:rtl/>
                <w:lang w:eastAsia="ja-JP"/>
              </w:rPr>
              <w:t>ו-</w:t>
            </w:r>
            <w:r w:rsidRPr="00091326">
              <w:rPr>
                <w:rFonts w:ascii="Arial" w:eastAsia="Arial Unicode MS" w:hAnsi="Arial" w:cs="David"/>
                <w:snapToGrid w:val="0"/>
                <w:color w:val="000000"/>
                <w:sz w:val="24"/>
                <w:szCs w:val="24"/>
                <w:rtl/>
                <w:lang w:eastAsia="ja-JP"/>
              </w:rPr>
              <w:t>301</w:t>
            </w:r>
            <w:r w:rsidRPr="00091326">
              <w:rPr>
                <w:rFonts w:ascii="Arial" w:eastAsia="Arial Unicode MS" w:hAnsi="Arial" w:cs="David" w:hint="eastAsia"/>
                <w:snapToGrid w:val="0"/>
                <w:color w:val="000000"/>
                <w:sz w:val="24"/>
                <w:szCs w:val="24"/>
                <w:rtl/>
                <w:lang w:eastAsia="ja-JP"/>
              </w:rPr>
              <w:t>א</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מי</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שגרם</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למותו</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של</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אדם</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ורואים</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אותו</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כמי</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שעשה</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את</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המעשה</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באדישות</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לפי</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סעיפים</w:t>
            </w:r>
            <w:r w:rsidRPr="00091326">
              <w:rPr>
                <w:rFonts w:ascii="Arial" w:eastAsia="Arial Unicode MS" w:hAnsi="Arial" w:cs="David"/>
                <w:snapToGrid w:val="0"/>
                <w:color w:val="000000"/>
                <w:sz w:val="24"/>
                <w:szCs w:val="24"/>
                <w:rtl/>
                <w:lang w:eastAsia="ja-JP"/>
              </w:rPr>
              <w:t xml:space="preserve"> 34</w:t>
            </w:r>
            <w:r w:rsidRPr="00091326">
              <w:rPr>
                <w:rFonts w:ascii="Arial" w:eastAsia="Arial Unicode MS" w:hAnsi="Arial" w:cs="David" w:hint="eastAsia"/>
                <w:snapToGrid w:val="0"/>
                <w:color w:val="000000"/>
                <w:sz w:val="24"/>
                <w:szCs w:val="24"/>
                <w:rtl/>
                <w:lang w:eastAsia="ja-JP"/>
              </w:rPr>
              <w:t>א</w:t>
            </w:r>
            <w:r w:rsidRPr="00091326">
              <w:rPr>
                <w:rFonts w:ascii="Arial" w:eastAsia="Arial Unicode MS" w:hAnsi="Arial" w:cs="David"/>
                <w:snapToGrid w:val="0"/>
                <w:color w:val="000000"/>
                <w:sz w:val="24"/>
                <w:szCs w:val="24"/>
                <w:rtl/>
                <w:lang w:eastAsia="ja-JP"/>
              </w:rPr>
              <w:t>(</w:t>
            </w:r>
            <w:r w:rsidRPr="00091326">
              <w:rPr>
                <w:rFonts w:ascii="Arial" w:eastAsia="Arial Unicode MS" w:hAnsi="Arial" w:cs="David" w:hint="eastAsia"/>
                <w:snapToGrid w:val="0"/>
                <w:color w:val="000000"/>
                <w:sz w:val="24"/>
                <w:szCs w:val="24"/>
                <w:rtl/>
                <w:lang w:eastAsia="ja-JP"/>
              </w:rPr>
              <w:t>א</w:t>
            </w:r>
            <w:r w:rsidRPr="00091326">
              <w:rPr>
                <w:rFonts w:ascii="Arial" w:eastAsia="Arial Unicode MS" w:hAnsi="Arial" w:cs="David"/>
                <w:snapToGrid w:val="0"/>
                <w:color w:val="000000"/>
                <w:sz w:val="24"/>
                <w:szCs w:val="24"/>
                <w:rtl/>
                <w:lang w:eastAsia="ja-JP"/>
              </w:rPr>
              <w:t>)(1), 34</w:t>
            </w:r>
            <w:r w:rsidRPr="00091326">
              <w:rPr>
                <w:rFonts w:ascii="Arial" w:eastAsia="Arial Unicode MS" w:hAnsi="Arial" w:cs="David" w:hint="eastAsia"/>
                <w:snapToGrid w:val="0"/>
                <w:color w:val="000000"/>
                <w:sz w:val="24"/>
                <w:szCs w:val="24"/>
                <w:rtl/>
                <w:lang w:eastAsia="ja-JP"/>
              </w:rPr>
              <w:t>ט</w:t>
            </w:r>
            <w:r w:rsidRPr="00091326">
              <w:rPr>
                <w:rFonts w:ascii="Arial" w:eastAsia="Arial Unicode MS" w:hAnsi="Arial" w:cs="David"/>
                <w:snapToGrid w:val="0"/>
                <w:color w:val="000000"/>
                <w:sz w:val="24"/>
                <w:szCs w:val="24"/>
                <w:rtl/>
                <w:lang w:eastAsia="ja-JP"/>
              </w:rPr>
              <w:t>(</w:t>
            </w:r>
            <w:r w:rsidRPr="00091326">
              <w:rPr>
                <w:rFonts w:ascii="Arial" w:eastAsia="Arial Unicode MS" w:hAnsi="Arial" w:cs="David" w:hint="eastAsia"/>
                <w:snapToGrid w:val="0"/>
                <w:color w:val="000000"/>
                <w:sz w:val="24"/>
                <w:szCs w:val="24"/>
                <w:rtl/>
                <w:lang w:eastAsia="ja-JP"/>
              </w:rPr>
              <w:t>ב</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או</w:t>
            </w:r>
            <w:r w:rsidRPr="00091326">
              <w:rPr>
                <w:rFonts w:ascii="Arial" w:eastAsia="Arial Unicode MS" w:hAnsi="Arial" w:cs="David"/>
                <w:snapToGrid w:val="0"/>
                <w:color w:val="000000"/>
                <w:sz w:val="24"/>
                <w:szCs w:val="24"/>
                <w:rtl/>
                <w:lang w:eastAsia="ja-JP"/>
              </w:rPr>
              <w:t xml:space="preserve"> 34</w:t>
            </w:r>
            <w:r w:rsidRPr="00091326">
              <w:rPr>
                <w:rFonts w:ascii="Arial" w:eastAsia="Arial Unicode MS" w:hAnsi="Arial" w:cs="David" w:hint="eastAsia"/>
                <w:snapToGrid w:val="0"/>
                <w:color w:val="000000"/>
                <w:sz w:val="24"/>
                <w:szCs w:val="24"/>
                <w:rtl/>
                <w:lang w:eastAsia="ja-JP"/>
              </w:rPr>
              <w:t>יד</w:t>
            </w:r>
            <w:r w:rsidRPr="00091326">
              <w:rPr>
                <w:rFonts w:ascii="Arial" w:eastAsia="Arial Unicode MS" w:hAnsi="Arial" w:cs="David"/>
                <w:snapToGrid w:val="0"/>
                <w:color w:val="000000"/>
                <w:sz w:val="24"/>
                <w:szCs w:val="24"/>
                <w:rtl/>
                <w:lang w:eastAsia="ja-JP"/>
              </w:rPr>
              <w:t>(</w:t>
            </w:r>
            <w:r w:rsidRPr="00091326">
              <w:rPr>
                <w:rFonts w:ascii="Arial" w:eastAsia="Arial Unicode MS" w:hAnsi="Arial" w:cs="David" w:hint="eastAsia"/>
                <w:snapToGrid w:val="0"/>
                <w:color w:val="000000"/>
                <w:sz w:val="24"/>
                <w:szCs w:val="24"/>
                <w:rtl/>
                <w:lang w:eastAsia="ja-JP"/>
              </w:rPr>
              <w:t>ב</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רישה</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דינו</w:t>
            </w:r>
            <w:r w:rsidRPr="00091326">
              <w:rPr>
                <w:rFonts w:ascii="Arial" w:eastAsia="Arial Unicode MS" w:hAnsi="Arial" w:cs="David"/>
                <w:snapToGrid w:val="0"/>
                <w:color w:val="000000"/>
                <w:sz w:val="24"/>
                <w:szCs w:val="24"/>
                <w:rtl/>
                <w:lang w:eastAsia="ja-JP"/>
              </w:rPr>
              <w:t xml:space="preserve"> – </w:t>
            </w:r>
            <w:r w:rsidRPr="00091326">
              <w:rPr>
                <w:rFonts w:ascii="Arial" w:eastAsia="Arial Unicode MS" w:hAnsi="Arial" w:cs="David" w:hint="eastAsia"/>
                <w:snapToGrid w:val="0"/>
                <w:color w:val="000000"/>
                <w:sz w:val="24"/>
                <w:szCs w:val="24"/>
                <w:rtl/>
                <w:lang w:eastAsia="ja-JP"/>
              </w:rPr>
              <w:t>מאסר</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עשרים</w:t>
            </w:r>
            <w:r w:rsidRPr="00091326">
              <w:rPr>
                <w:rFonts w:ascii="Arial" w:eastAsia="Arial Unicode MS" w:hAnsi="Arial" w:cs="David"/>
                <w:snapToGrid w:val="0"/>
                <w:color w:val="000000"/>
                <w:sz w:val="24"/>
                <w:szCs w:val="24"/>
                <w:rtl/>
                <w:lang w:eastAsia="ja-JP"/>
              </w:rPr>
              <w:t xml:space="preserve"> </w:t>
            </w:r>
            <w:r w:rsidRPr="00091326">
              <w:rPr>
                <w:rFonts w:ascii="Arial" w:eastAsia="Arial Unicode MS" w:hAnsi="Arial" w:cs="David" w:hint="eastAsia"/>
                <w:snapToGrid w:val="0"/>
                <w:color w:val="000000"/>
                <w:sz w:val="24"/>
                <w:szCs w:val="24"/>
                <w:rtl/>
                <w:lang w:eastAsia="ja-JP"/>
              </w:rPr>
              <w:t>שנים</w:t>
            </w:r>
            <w:r w:rsidRPr="00091326">
              <w:rPr>
                <w:rFonts w:ascii="Arial" w:eastAsia="Arial Unicode MS" w:hAnsi="Arial" w:cs="David"/>
                <w:snapToGrid w:val="0"/>
                <w:color w:val="000000"/>
                <w:sz w:val="24"/>
                <w:szCs w:val="24"/>
                <w:rtl/>
                <w:lang w:eastAsia="ja-JP"/>
              </w:rPr>
              <w:t>.</w:t>
            </w:r>
            <w:r w:rsidRPr="00091326">
              <w:rPr>
                <w:rFonts w:ascii="Arial" w:eastAsia="Arial Unicode MS" w:hAnsi="Arial" w:cs="David" w:hint="cs"/>
                <w:snapToGrid w:val="0"/>
                <w:color w:val="000000"/>
                <w:sz w:val="24"/>
                <w:szCs w:val="24"/>
                <w:rtl/>
                <w:lang w:eastAsia="ja-JP"/>
              </w:rPr>
              <w:t>"</w:t>
            </w:r>
          </w:p>
        </w:tc>
      </w:tr>
    </w:tbl>
    <w:p w:rsidR="00B255A5" w:rsidRDefault="00B255A5" w:rsidP="00B255A5">
      <w:pPr>
        <w:spacing w:after="120" w:line="360" w:lineRule="auto"/>
        <w:jc w:val="both"/>
        <w:rPr>
          <w:rFonts w:ascii="David" w:hAnsi="David" w:cs="David"/>
          <w:sz w:val="24"/>
          <w:szCs w:val="24"/>
          <w:rtl/>
        </w:rPr>
      </w:pPr>
      <w:r>
        <w:rPr>
          <w:rFonts w:ascii="David" w:hAnsi="David" w:cs="David" w:hint="cs"/>
          <w:sz w:val="24"/>
          <w:szCs w:val="24"/>
          <w:rtl/>
        </w:rPr>
        <w:t xml:space="preserve">  </w:t>
      </w:r>
    </w:p>
    <w:p w:rsidR="00B255A5" w:rsidRPr="00ED7D16" w:rsidRDefault="00B255A5" w:rsidP="00B255A5">
      <w:pPr>
        <w:spacing w:after="120" w:line="360" w:lineRule="auto"/>
        <w:jc w:val="both"/>
        <w:rPr>
          <w:rFonts w:ascii="David" w:hAnsi="David" w:cs="David"/>
          <w:sz w:val="24"/>
          <w:szCs w:val="24"/>
          <w:rtl/>
        </w:rPr>
      </w:pPr>
      <w:r w:rsidRPr="001915FE">
        <w:rPr>
          <w:rFonts w:ascii="David" w:hAnsi="David" w:cs="David"/>
          <w:sz w:val="24"/>
          <w:szCs w:val="24"/>
          <w:rtl/>
        </w:rPr>
        <w:lastRenderedPageBreak/>
        <w:t>השאל</w:t>
      </w:r>
      <w:r>
        <w:rPr>
          <w:rFonts w:ascii="David" w:hAnsi="David" w:cs="David" w:hint="cs"/>
          <w:sz w:val="24"/>
          <w:szCs w:val="24"/>
          <w:rtl/>
        </w:rPr>
        <w:t>ות</w:t>
      </w:r>
      <w:r w:rsidRPr="001915FE">
        <w:rPr>
          <w:rFonts w:ascii="David" w:hAnsi="David" w:cs="David"/>
          <w:sz w:val="24"/>
          <w:szCs w:val="24"/>
          <w:rtl/>
        </w:rPr>
        <w:t xml:space="preserve"> המרכזי</w:t>
      </w:r>
      <w:r>
        <w:rPr>
          <w:rFonts w:ascii="David" w:hAnsi="David" w:cs="David" w:hint="cs"/>
          <w:sz w:val="24"/>
          <w:szCs w:val="24"/>
          <w:rtl/>
        </w:rPr>
        <w:t>ו</w:t>
      </w:r>
      <w:r w:rsidRPr="001915FE">
        <w:rPr>
          <w:rFonts w:ascii="David" w:hAnsi="David" w:cs="David"/>
          <w:sz w:val="24"/>
          <w:szCs w:val="24"/>
          <w:rtl/>
        </w:rPr>
        <w:t>ת שניצב</w:t>
      </w:r>
      <w:r>
        <w:rPr>
          <w:rFonts w:ascii="David" w:hAnsi="David" w:cs="David" w:hint="cs"/>
          <w:sz w:val="24"/>
          <w:szCs w:val="24"/>
          <w:rtl/>
        </w:rPr>
        <w:t>ו</w:t>
      </w:r>
      <w:r w:rsidRPr="001915FE">
        <w:rPr>
          <w:rFonts w:ascii="David" w:hAnsi="David" w:cs="David"/>
          <w:sz w:val="24"/>
          <w:szCs w:val="24"/>
          <w:rtl/>
        </w:rPr>
        <w:t xml:space="preserve">ת </w:t>
      </w:r>
      <w:r>
        <w:rPr>
          <w:rFonts w:ascii="David" w:hAnsi="David" w:cs="David" w:hint="cs"/>
          <w:sz w:val="24"/>
          <w:szCs w:val="24"/>
          <w:rtl/>
        </w:rPr>
        <w:t xml:space="preserve">כעת </w:t>
      </w:r>
      <w:r w:rsidRPr="001915FE">
        <w:rPr>
          <w:rFonts w:ascii="David" w:hAnsi="David" w:cs="David"/>
          <w:sz w:val="24"/>
          <w:szCs w:val="24"/>
          <w:rtl/>
        </w:rPr>
        <w:t xml:space="preserve">בפני המחוקק </w:t>
      </w:r>
      <w:r w:rsidRPr="00ED7D16">
        <w:rPr>
          <w:rFonts w:ascii="David" w:hAnsi="David" w:cs="David"/>
          <w:sz w:val="24"/>
          <w:szCs w:val="24"/>
          <w:rtl/>
        </w:rPr>
        <w:t>ה</w:t>
      </w:r>
      <w:r w:rsidRPr="00ED7D16">
        <w:rPr>
          <w:rFonts w:ascii="David" w:hAnsi="David" w:cs="David" w:hint="cs"/>
          <w:sz w:val="24"/>
          <w:szCs w:val="24"/>
          <w:rtl/>
        </w:rPr>
        <w:t>ן</w:t>
      </w:r>
      <w:r w:rsidRPr="00ED7D16">
        <w:rPr>
          <w:rFonts w:ascii="David" w:hAnsi="David" w:cs="David"/>
          <w:sz w:val="24"/>
          <w:szCs w:val="24"/>
          <w:rtl/>
        </w:rPr>
        <w:t xml:space="preserve"> </w:t>
      </w:r>
      <w:r>
        <w:rPr>
          <w:rFonts w:ascii="David" w:hAnsi="David" w:cs="David" w:hint="cs"/>
          <w:sz w:val="24"/>
          <w:szCs w:val="24"/>
          <w:rtl/>
        </w:rPr>
        <w:t>שאלת קביעת הוראה בדבר אחריות מופחתת, בשונה מעונש מופחת בלבד, ו</w:t>
      </w:r>
      <w:r w:rsidRPr="00ED7D16">
        <w:rPr>
          <w:rFonts w:ascii="David" w:hAnsi="David" w:cs="David" w:hint="cs"/>
          <w:sz w:val="24"/>
          <w:szCs w:val="24"/>
          <w:rtl/>
        </w:rPr>
        <w:t>תוכ</w:t>
      </w:r>
      <w:r>
        <w:rPr>
          <w:rFonts w:ascii="David" w:hAnsi="David" w:cs="David" w:hint="cs"/>
          <w:sz w:val="24"/>
          <w:szCs w:val="24"/>
          <w:rtl/>
        </w:rPr>
        <w:t>נ</w:t>
      </w:r>
      <w:r w:rsidRPr="00ED7D16">
        <w:rPr>
          <w:rFonts w:ascii="David" w:hAnsi="David" w:cs="David" w:hint="cs"/>
          <w:sz w:val="24"/>
          <w:szCs w:val="24"/>
          <w:rtl/>
        </w:rPr>
        <w:t xml:space="preserve">ן </w:t>
      </w:r>
      <w:r>
        <w:rPr>
          <w:rFonts w:ascii="David" w:hAnsi="David" w:cs="David" w:hint="cs"/>
          <w:sz w:val="24"/>
          <w:szCs w:val="24"/>
          <w:rtl/>
        </w:rPr>
        <w:t>של כל אחת מ</w:t>
      </w:r>
      <w:r w:rsidRPr="00ED7D16">
        <w:rPr>
          <w:rFonts w:ascii="David" w:hAnsi="David" w:cs="David" w:hint="cs"/>
          <w:sz w:val="24"/>
          <w:szCs w:val="24"/>
          <w:rtl/>
        </w:rPr>
        <w:t>הנסיבות</w:t>
      </w:r>
      <w:r>
        <w:rPr>
          <w:rFonts w:ascii="David" w:hAnsi="David" w:cs="David" w:hint="cs"/>
          <w:sz w:val="24"/>
          <w:szCs w:val="24"/>
          <w:rtl/>
        </w:rPr>
        <w:t xml:space="preserve"> </w:t>
      </w:r>
      <w:r>
        <w:rPr>
          <w:rFonts w:cs="David" w:hint="cs"/>
          <w:sz w:val="24"/>
          <w:szCs w:val="24"/>
          <w:rtl/>
        </w:rPr>
        <w:t>שמוצע לקבוע כנסיבות המבטאות אשמה פחותה</w:t>
      </w:r>
      <w:r w:rsidRPr="00ED7D16">
        <w:rPr>
          <w:rFonts w:ascii="David" w:hAnsi="David" w:cs="David" w:hint="cs"/>
          <w:sz w:val="24"/>
          <w:szCs w:val="24"/>
          <w:rtl/>
        </w:rPr>
        <w:t xml:space="preserve">. </w:t>
      </w:r>
    </w:p>
    <w:p w:rsidR="00B255A5" w:rsidRDefault="00B255A5" w:rsidP="00B255A5">
      <w:pPr>
        <w:spacing w:before="120" w:after="0" w:line="360" w:lineRule="auto"/>
        <w:jc w:val="both"/>
        <w:rPr>
          <w:rFonts w:ascii="David" w:hAnsi="David" w:cs="David"/>
          <w:sz w:val="24"/>
          <w:szCs w:val="24"/>
          <w:rtl/>
        </w:rPr>
      </w:pPr>
      <w:r w:rsidRPr="001915FE">
        <w:rPr>
          <w:rFonts w:ascii="David" w:hAnsi="David" w:cs="David"/>
          <w:sz w:val="24"/>
          <w:szCs w:val="24"/>
          <w:rtl/>
        </w:rPr>
        <w:t xml:space="preserve">במסמך זה נסקור </w:t>
      </w:r>
      <w:r>
        <w:rPr>
          <w:rFonts w:ascii="David" w:hAnsi="David" w:cs="David" w:hint="cs"/>
          <w:sz w:val="24"/>
          <w:szCs w:val="24"/>
          <w:rtl/>
        </w:rPr>
        <w:t xml:space="preserve">את </w:t>
      </w:r>
      <w:r w:rsidRPr="001915FE">
        <w:rPr>
          <w:rFonts w:ascii="David" w:hAnsi="David" w:cs="David"/>
          <w:sz w:val="24"/>
          <w:szCs w:val="24"/>
          <w:rtl/>
        </w:rPr>
        <w:t>הנסיב</w:t>
      </w:r>
      <w:r>
        <w:rPr>
          <w:rFonts w:ascii="David" w:hAnsi="David" w:cs="David" w:hint="cs"/>
          <w:sz w:val="24"/>
          <w:szCs w:val="24"/>
          <w:rtl/>
        </w:rPr>
        <w:t>ה הראשונה המוצעת בדבר קנטור ואת הדילמות שהיא מעוררת.</w:t>
      </w:r>
      <w:r w:rsidRPr="001915FE">
        <w:rPr>
          <w:rFonts w:ascii="David" w:hAnsi="David" w:cs="David"/>
          <w:sz w:val="24"/>
          <w:szCs w:val="24"/>
          <w:rtl/>
        </w:rPr>
        <w:t xml:space="preserve"> </w:t>
      </w:r>
    </w:p>
    <w:p w:rsidR="00B255A5" w:rsidRDefault="00B255A5" w:rsidP="00B255A5">
      <w:pPr>
        <w:spacing w:before="120" w:after="0" w:line="360" w:lineRule="auto"/>
        <w:jc w:val="both"/>
        <w:rPr>
          <w:rFonts w:cs="David"/>
          <w:sz w:val="24"/>
          <w:szCs w:val="24"/>
          <w:rtl/>
        </w:rPr>
      </w:pPr>
    </w:p>
    <w:p w:rsidR="00B255A5" w:rsidRPr="00735293" w:rsidRDefault="00B255A5" w:rsidP="00B255A5">
      <w:pPr>
        <w:spacing w:before="120" w:after="0" w:line="360" w:lineRule="auto"/>
        <w:jc w:val="both"/>
        <w:rPr>
          <w:rFonts w:ascii="David" w:hAnsi="David" w:cs="David"/>
          <w:b/>
          <w:bCs/>
          <w:sz w:val="24"/>
          <w:szCs w:val="24"/>
          <w:u w:val="single"/>
          <w:rtl/>
        </w:rPr>
      </w:pPr>
      <w:r w:rsidRPr="00735293">
        <w:rPr>
          <w:rFonts w:ascii="David" w:hAnsi="David" w:cs="David" w:hint="cs"/>
          <w:b/>
          <w:bCs/>
          <w:sz w:val="24"/>
          <w:szCs w:val="24"/>
          <w:u w:val="single"/>
          <w:rtl/>
        </w:rPr>
        <w:t>קנטור</w:t>
      </w:r>
      <w:r>
        <w:rPr>
          <w:rFonts w:ascii="David" w:hAnsi="David" w:cs="David" w:hint="cs"/>
          <w:b/>
          <w:bCs/>
          <w:sz w:val="24"/>
          <w:szCs w:val="24"/>
          <w:u w:val="single"/>
          <w:rtl/>
        </w:rPr>
        <w:t xml:space="preserve"> (התגרות)</w:t>
      </w:r>
    </w:p>
    <w:p w:rsidR="00B255A5" w:rsidRDefault="00B255A5" w:rsidP="00B255A5">
      <w:pPr>
        <w:spacing w:before="120" w:after="0" w:line="360" w:lineRule="auto"/>
        <w:jc w:val="both"/>
        <w:rPr>
          <w:rFonts w:ascii="David" w:hAnsi="David" w:cs="David"/>
          <w:sz w:val="24"/>
          <w:szCs w:val="24"/>
          <w:rtl/>
        </w:rPr>
      </w:pPr>
      <w:r>
        <w:rPr>
          <w:rFonts w:ascii="David" w:hAnsi="David" w:cs="David" w:hint="cs"/>
          <w:sz w:val="24"/>
          <w:szCs w:val="24"/>
          <w:rtl/>
        </w:rPr>
        <w:t>קנטור (התגרות) נכלל כיום, על דרך השלילה, כאחד היסודות בבחינת ה"כוונה תחילה" המגבשת את עבירת הרצח. כוונה תחילה לא תתגבש אם קדמה התגרות בממית בתכוף למעשה, כפי שקבוע היום בסעיף 301 לחוק:</w:t>
      </w:r>
    </w:p>
    <w:tbl>
      <w:tblPr>
        <w:tblStyle w:val="a3"/>
        <w:bidiVisual/>
        <w:tblW w:w="0" w:type="auto"/>
        <w:tblLook w:val="04A0" w:firstRow="1" w:lastRow="0" w:firstColumn="1" w:lastColumn="0" w:noHBand="0" w:noVBand="1"/>
      </w:tblPr>
      <w:tblGrid>
        <w:gridCol w:w="8296"/>
      </w:tblGrid>
      <w:tr w:rsidR="00B255A5" w:rsidRPr="008B41FD" w:rsidTr="0088588B">
        <w:tc>
          <w:tcPr>
            <w:tcW w:w="8296" w:type="dxa"/>
          </w:tcPr>
          <w:p w:rsidR="00B255A5" w:rsidRPr="008B41FD" w:rsidRDefault="00B255A5" w:rsidP="0088588B">
            <w:pPr>
              <w:spacing w:before="120" w:line="360" w:lineRule="auto"/>
              <w:rPr>
                <w:rFonts w:cs="David"/>
                <w:sz w:val="24"/>
                <w:szCs w:val="24"/>
                <w:rtl/>
              </w:rPr>
            </w:pPr>
            <w:r>
              <w:rPr>
                <w:rFonts w:cs="David" w:hint="cs"/>
                <w:sz w:val="24"/>
                <w:szCs w:val="24"/>
                <w:rtl/>
              </w:rPr>
              <w:t>"</w:t>
            </w:r>
            <w:r w:rsidRPr="008B41FD">
              <w:rPr>
                <w:rFonts w:cs="David" w:hint="cs"/>
                <w:sz w:val="24"/>
                <w:szCs w:val="24"/>
                <w:rtl/>
              </w:rPr>
              <w:t xml:space="preserve">301. </w:t>
            </w:r>
            <w:r w:rsidRPr="008B41FD">
              <w:rPr>
                <w:rFonts w:cs="David" w:hint="cs"/>
                <w:b/>
                <w:bCs/>
                <w:sz w:val="24"/>
                <w:szCs w:val="24"/>
                <w:rtl/>
              </w:rPr>
              <w:t>כוונה תחילה</w:t>
            </w:r>
          </w:p>
          <w:p w:rsidR="00B255A5" w:rsidRPr="008B41FD" w:rsidRDefault="00B255A5" w:rsidP="0088588B">
            <w:pPr>
              <w:spacing w:before="120" w:line="360" w:lineRule="auto"/>
              <w:jc w:val="both"/>
              <w:rPr>
                <w:rFonts w:cs="David"/>
                <w:sz w:val="24"/>
                <w:szCs w:val="24"/>
                <w:rtl/>
              </w:rPr>
            </w:pPr>
            <w:r w:rsidRPr="008B41FD">
              <w:rPr>
                <w:rFonts w:cs="David" w:hint="cs"/>
                <w:sz w:val="24"/>
                <w:szCs w:val="24"/>
                <w:rtl/>
              </w:rPr>
              <w:t xml:space="preserve">(א) </w:t>
            </w:r>
            <w:r w:rsidRPr="008B41FD">
              <w:rPr>
                <w:rStyle w:val="default"/>
                <w:rFonts w:cs="David" w:hint="cs"/>
                <w:sz w:val="24"/>
                <w:szCs w:val="24"/>
                <w:rtl/>
              </w:rPr>
              <w:t>לעניין סעיף 300, יראו ממית אדם כמי שהמית בכוונה תחילה אם החליט להמיתו, וה</w:t>
            </w:r>
            <w:r w:rsidRPr="008B41FD">
              <w:rPr>
                <w:rStyle w:val="default"/>
                <w:rFonts w:cs="David"/>
                <w:sz w:val="24"/>
                <w:szCs w:val="24"/>
                <w:rtl/>
              </w:rPr>
              <w:t>מ</w:t>
            </w:r>
            <w:r w:rsidRPr="008B41FD">
              <w:rPr>
                <w:rStyle w:val="default"/>
                <w:rFonts w:cs="David" w:hint="cs"/>
                <w:sz w:val="24"/>
                <w:szCs w:val="24"/>
                <w:rtl/>
              </w:rPr>
              <w:t xml:space="preserve">יתו </w:t>
            </w:r>
            <w:r w:rsidRPr="00461A32">
              <w:rPr>
                <w:rStyle w:val="default"/>
                <w:rFonts w:cs="David" w:hint="cs"/>
                <w:sz w:val="24"/>
                <w:szCs w:val="24"/>
                <w:u w:val="single"/>
                <w:rtl/>
              </w:rPr>
              <w:t>בדם קר, בלי שקדמה התגרות בתכוף למעשה</w:t>
            </w:r>
            <w:r w:rsidRPr="008B41FD">
              <w:rPr>
                <w:rStyle w:val="default"/>
                <w:rFonts w:cs="David" w:hint="cs"/>
                <w:sz w:val="24"/>
                <w:szCs w:val="24"/>
                <w:rtl/>
              </w:rPr>
              <w:t>, בנ</w:t>
            </w:r>
            <w:r w:rsidRPr="008B41FD">
              <w:rPr>
                <w:rStyle w:val="default"/>
                <w:rFonts w:cs="David"/>
                <w:sz w:val="24"/>
                <w:szCs w:val="24"/>
                <w:rtl/>
              </w:rPr>
              <w:t>ס</w:t>
            </w:r>
            <w:r w:rsidRPr="008B41FD">
              <w:rPr>
                <w:rStyle w:val="default"/>
                <w:rFonts w:cs="David" w:hint="cs"/>
                <w:sz w:val="24"/>
                <w:szCs w:val="24"/>
                <w:rtl/>
              </w:rPr>
              <w:t>י</w:t>
            </w:r>
            <w:r w:rsidRPr="008B41FD">
              <w:rPr>
                <w:rStyle w:val="default"/>
                <w:rFonts w:cs="David"/>
                <w:sz w:val="24"/>
                <w:szCs w:val="24"/>
                <w:rtl/>
              </w:rPr>
              <w:t>ב</w:t>
            </w:r>
            <w:r w:rsidRPr="008B41FD">
              <w:rPr>
                <w:rStyle w:val="default"/>
                <w:rFonts w:cs="David" w:hint="cs"/>
                <w:sz w:val="24"/>
                <w:szCs w:val="24"/>
                <w:rtl/>
              </w:rPr>
              <w:t>ות שבהן יכול לחשוב ולהבין את תוצא</w:t>
            </w:r>
            <w:r w:rsidRPr="008B41FD">
              <w:rPr>
                <w:rStyle w:val="default"/>
                <w:rFonts w:cs="David"/>
                <w:sz w:val="24"/>
                <w:szCs w:val="24"/>
                <w:rtl/>
              </w:rPr>
              <w:t>ות</w:t>
            </w:r>
            <w:r w:rsidRPr="008B41FD">
              <w:rPr>
                <w:rStyle w:val="default"/>
                <w:rFonts w:cs="David" w:hint="cs"/>
                <w:sz w:val="24"/>
                <w:szCs w:val="24"/>
                <w:rtl/>
              </w:rPr>
              <w:t xml:space="preserve"> מ</w:t>
            </w:r>
            <w:r w:rsidRPr="008B41FD">
              <w:rPr>
                <w:rStyle w:val="default"/>
                <w:rFonts w:cs="David"/>
                <w:sz w:val="24"/>
                <w:szCs w:val="24"/>
                <w:rtl/>
              </w:rPr>
              <w:t>עש</w:t>
            </w:r>
            <w:r w:rsidRPr="008B41FD">
              <w:rPr>
                <w:rStyle w:val="default"/>
                <w:rFonts w:cs="David" w:hint="cs"/>
                <w:sz w:val="24"/>
                <w:szCs w:val="24"/>
                <w:rtl/>
              </w:rPr>
              <w:t>יו, ולאחר שהכין עצמו להמית אותו או שהכין מכשיר שבו המית אותו</w:t>
            </w:r>
            <w:r>
              <w:rPr>
                <w:rStyle w:val="default"/>
                <w:rFonts w:cs="David" w:hint="cs"/>
                <w:sz w:val="24"/>
                <w:szCs w:val="24"/>
                <w:rtl/>
              </w:rPr>
              <w:t>....".</w:t>
            </w:r>
          </w:p>
        </w:tc>
      </w:tr>
    </w:tbl>
    <w:p w:rsidR="00B255A5" w:rsidRDefault="00B255A5" w:rsidP="00B255A5">
      <w:pPr>
        <w:spacing w:before="120" w:after="0" w:line="360" w:lineRule="auto"/>
        <w:jc w:val="both"/>
        <w:rPr>
          <w:rFonts w:ascii="David" w:hAnsi="David" w:cs="David"/>
          <w:sz w:val="24"/>
          <w:szCs w:val="24"/>
          <w:rtl/>
        </w:rPr>
      </w:pPr>
      <w:r w:rsidRPr="008B41FD">
        <w:rPr>
          <w:rFonts w:ascii="David" w:hAnsi="David" w:cs="David" w:hint="cs"/>
          <w:sz w:val="24"/>
          <w:szCs w:val="24"/>
          <w:rtl/>
        </w:rPr>
        <w:t>הפסיקה קבעה שרכיב ה"כוונה תחילה", לפי סעיף 301, דורש שלושה אלמנטים מצטברים:</w:t>
      </w:r>
      <w:r>
        <w:rPr>
          <w:rFonts w:ascii="David" w:hAnsi="David" w:cs="David" w:hint="cs"/>
          <w:sz w:val="24"/>
          <w:szCs w:val="24"/>
          <w:rtl/>
        </w:rPr>
        <w:t xml:space="preserve"> </w:t>
      </w:r>
      <w:r w:rsidRPr="00D51400">
        <w:rPr>
          <w:rFonts w:ascii="David" w:hAnsi="David" w:cs="David" w:hint="cs"/>
          <w:sz w:val="24"/>
          <w:szCs w:val="24"/>
          <w:rtl/>
        </w:rPr>
        <w:t>החלטה להמית</w:t>
      </w:r>
      <w:r>
        <w:rPr>
          <w:rFonts w:ascii="David" w:hAnsi="David" w:cs="David" w:hint="cs"/>
          <w:sz w:val="24"/>
          <w:szCs w:val="24"/>
          <w:rtl/>
        </w:rPr>
        <w:t xml:space="preserve">, </w:t>
      </w:r>
      <w:r w:rsidRPr="008B41FD">
        <w:rPr>
          <w:rFonts w:ascii="David" w:hAnsi="David" w:cs="David" w:hint="cs"/>
          <w:sz w:val="24"/>
          <w:szCs w:val="24"/>
          <w:rtl/>
        </w:rPr>
        <w:t>ביצוע מעשה הכנה</w:t>
      </w:r>
      <w:r>
        <w:rPr>
          <w:rFonts w:ascii="David" w:hAnsi="David" w:cs="David" w:hint="cs"/>
          <w:sz w:val="24"/>
          <w:szCs w:val="24"/>
          <w:rtl/>
        </w:rPr>
        <w:t xml:space="preserve"> ו</w:t>
      </w:r>
      <w:r w:rsidRPr="008B41FD">
        <w:rPr>
          <w:rFonts w:ascii="David" w:hAnsi="David" w:cs="David" w:hint="cs"/>
          <w:sz w:val="24"/>
          <w:szCs w:val="24"/>
          <w:rtl/>
        </w:rPr>
        <w:t xml:space="preserve">היעדר </w:t>
      </w:r>
      <w:r>
        <w:rPr>
          <w:rFonts w:ascii="David" w:hAnsi="David" w:cs="David" w:hint="cs"/>
          <w:sz w:val="24"/>
          <w:szCs w:val="24"/>
          <w:rtl/>
        </w:rPr>
        <w:t>קנטור</w:t>
      </w:r>
      <w:r w:rsidRPr="008B41FD">
        <w:rPr>
          <w:rStyle w:val="a7"/>
          <w:rFonts w:cs="David"/>
          <w:sz w:val="24"/>
          <w:szCs w:val="24"/>
          <w:rtl/>
        </w:rPr>
        <w:footnoteReference w:id="2"/>
      </w:r>
      <w:r w:rsidRPr="008B41FD">
        <w:rPr>
          <w:rFonts w:ascii="David" w:hAnsi="David" w:cs="David" w:hint="cs"/>
          <w:sz w:val="24"/>
          <w:szCs w:val="24"/>
          <w:rtl/>
        </w:rPr>
        <w:t xml:space="preserve">. </w:t>
      </w:r>
    </w:p>
    <w:p w:rsidR="00B255A5" w:rsidRDefault="00B255A5" w:rsidP="00B255A5">
      <w:pPr>
        <w:spacing w:before="120" w:after="0" w:line="360" w:lineRule="auto"/>
        <w:jc w:val="both"/>
        <w:rPr>
          <w:rFonts w:cs="David"/>
          <w:sz w:val="24"/>
          <w:szCs w:val="24"/>
          <w:rtl/>
        </w:rPr>
      </w:pPr>
      <w:r>
        <w:rPr>
          <w:rFonts w:ascii="David" w:hAnsi="David" w:cs="David" w:hint="cs"/>
          <w:sz w:val="24"/>
          <w:szCs w:val="24"/>
          <w:rtl/>
        </w:rPr>
        <w:t xml:space="preserve">אלמנט הקנטור נתפס כמצב השולל כוונה תחילה, שכן, המעשה בוצע באופן ספונטני בשל אותו קנטור. </w:t>
      </w:r>
      <w:r>
        <w:rPr>
          <w:rFonts w:cs="David" w:hint="cs"/>
          <w:sz w:val="24"/>
          <w:szCs w:val="24"/>
          <w:rtl/>
        </w:rPr>
        <w:t xml:space="preserve">היעדר ההתגרות (היעדר קנטור) מהווה כיום למעשה את השאלה </w:t>
      </w:r>
      <w:r w:rsidRPr="008B41FD">
        <w:rPr>
          <w:rFonts w:cs="David" w:hint="cs"/>
          <w:sz w:val="24"/>
          <w:szCs w:val="24"/>
          <w:rtl/>
        </w:rPr>
        <w:t xml:space="preserve">המרכזית במסגרת בחינת הכוונה תחילה, </w:t>
      </w:r>
      <w:r>
        <w:rPr>
          <w:rFonts w:cs="David" w:hint="cs"/>
          <w:sz w:val="24"/>
          <w:szCs w:val="24"/>
          <w:rtl/>
        </w:rPr>
        <w:t>והוא שיוצר</w:t>
      </w:r>
      <w:r w:rsidRPr="008B41FD">
        <w:rPr>
          <w:rFonts w:cs="David" w:hint="cs"/>
          <w:sz w:val="24"/>
          <w:szCs w:val="24"/>
          <w:rtl/>
        </w:rPr>
        <w:t xml:space="preserve"> את ההבחנה העיקרית בין כוונה "רגילה" (אז לא ניתן להרשיע ברצח, אלא בהריגה בלבד) לבין "כוונה תחילה"</w:t>
      </w:r>
      <w:r w:rsidRPr="008B41FD">
        <w:rPr>
          <w:rStyle w:val="a7"/>
          <w:rFonts w:cs="David"/>
          <w:sz w:val="24"/>
          <w:szCs w:val="24"/>
          <w:rtl/>
        </w:rPr>
        <w:footnoteReference w:id="3"/>
      </w:r>
      <w:r w:rsidRPr="008B41FD">
        <w:rPr>
          <w:rFonts w:cs="David" w:hint="cs"/>
          <w:sz w:val="24"/>
          <w:szCs w:val="24"/>
          <w:rtl/>
        </w:rPr>
        <w:t>.</w:t>
      </w:r>
    </w:p>
    <w:p w:rsidR="00B255A5" w:rsidRPr="008B41FD" w:rsidRDefault="00B255A5" w:rsidP="00B255A5">
      <w:pPr>
        <w:spacing w:before="120" w:after="0" w:line="360" w:lineRule="auto"/>
        <w:jc w:val="both"/>
        <w:rPr>
          <w:rFonts w:cs="David"/>
          <w:sz w:val="24"/>
          <w:szCs w:val="24"/>
          <w:rtl/>
        </w:rPr>
      </w:pPr>
      <w:r>
        <w:rPr>
          <w:rFonts w:cs="David" w:hint="cs"/>
          <w:sz w:val="24"/>
          <w:szCs w:val="24"/>
          <w:rtl/>
        </w:rPr>
        <w:t xml:space="preserve">יצוין כי </w:t>
      </w:r>
      <w:r w:rsidRPr="008B41FD">
        <w:rPr>
          <w:rFonts w:cs="David" w:hint="cs"/>
          <w:sz w:val="24"/>
          <w:szCs w:val="24"/>
          <w:rtl/>
        </w:rPr>
        <w:t>הנטל להוכ</w:t>
      </w:r>
      <w:r>
        <w:rPr>
          <w:rFonts w:cs="David" w:hint="cs"/>
          <w:sz w:val="24"/>
          <w:szCs w:val="24"/>
          <w:rtl/>
        </w:rPr>
        <w:t xml:space="preserve">חת העדר </w:t>
      </w:r>
      <w:r w:rsidRPr="008B41FD">
        <w:rPr>
          <w:rFonts w:cs="David" w:hint="cs"/>
          <w:sz w:val="24"/>
          <w:szCs w:val="24"/>
          <w:rtl/>
        </w:rPr>
        <w:t xml:space="preserve">קנטור רובץ על התביעה </w:t>
      </w:r>
      <w:r>
        <w:rPr>
          <w:rFonts w:cs="David" w:hint="cs"/>
          <w:sz w:val="24"/>
          <w:szCs w:val="24"/>
          <w:rtl/>
        </w:rPr>
        <w:t xml:space="preserve">(ואולם, נקבע כי הנטל קיים </w:t>
      </w:r>
      <w:r w:rsidRPr="008B41FD">
        <w:rPr>
          <w:rFonts w:cs="David" w:hint="cs"/>
          <w:sz w:val="24"/>
          <w:szCs w:val="24"/>
          <w:rtl/>
        </w:rPr>
        <w:t>במידה פחותה יותר</w:t>
      </w:r>
      <w:r>
        <w:rPr>
          <w:rFonts w:cs="David" w:hint="cs"/>
          <w:sz w:val="24"/>
          <w:szCs w:val="24"/>
          <w:rtl/>
        </w:rPr>
        <w:t xml:space="preserve"> ביחס ליתר רכיבי העבירה)</w:t>
      </w:r>
      <w:r w:rsidRPr="008B41FD">
        <w:rPr>
          <w:rStyle w:val="a7"/>
          <w:rFonts w:cs="David"/>
          <w:sz w:val="24"/>
          <w:szCs w:val="24"/>
          <w:rtl/>
        </w:rPr>
        <w:footnoteReference w:id="4"/>
      </w:r>
      <w:r>
        <w:rPr>
          <w:rFonts w:cs="David" w:hint="cs"/>
          <w:sz w:val="24"/>
          <w:szCs w:val="24"/>
          <w:rtl/>
        </w:rPr>
        <w:t>.</w:t>
      </w:r>
    </w:p>
    <w:p w:rsidR="00B255A5" w:rsidRPr="003D4F97" w:rsidRDefault="00B255A5" w:rsidP="00B255A5">
      <w:pPr>
        <w:spacing w:before="120" w:after="0" w:line="360" w:lineRule="auto"/>
        <w:jc w:val="both"/>
        <w:rPr>
          <w:rFonts w:cs="FrankRuehl"/>
          <w:sz w:val="28"/>
          <w:szCs w:val="28"/>
          <w:rtl/>
        </w:rPr>
      </w:pPr>
      <w:r w:rsidRPr="00D876B6">
        <w:rPr>
          <w:rFonts w:cs="David" w:hint="cs"/>
          <w:sz w:val="24"/>
          <w:szCs w:val="24"/>
          <w:rtl/>
        </w:rPr>
        <w:t xml:space="preserve">על ההצדקה </w:t>
      </w:r>
      <w:r>
        <w:rPr>
          <w:rFonts w:cs="David" w:hint="cs"/>
          <w:sz w:val="24"/>
          <w:szCs w:val="24"/>
          <w:rtl/>
        </w:rPr>
        <w:t xml:space="preserve"> להבחנה בין מעשה שנעשה לאחר קנטור למעשה שנעשה בכוונה תחילה ע</w:t>
      </w:r>
      <w:r w:rsidRPr="00D876B6">
        <w:rPr>
          <w:rFonts w:cs="David" w:hint="cs"/>
          <w:sz w:val="24"/>
          <w:szCs w:val="24"/>
          <w:rtl/>
        </w:rPr>
        <w:t xml:space="preserve">מד השופט מלצר בפרשת </w:t>
      </w:r>
      <w:r w:rsidRPr="00D876B6">
        <w:rPr>
          <w:rFonts w:cs="David" w:hint="cs"/>
          <w:b/>
          <w:bCs/>
          <w:sz w:val="24"/>
          <w:szCs w:val="24"/>
          <w:rtl/>
        </w:rPr>
        <w:t>היילו</w:t>
      </w:r>
      <w:r w:rsidRPr="00D876B6">
        <w:rPr>
          <w:rStyle w:val="a7"/>
          <w:rFonts w:cs="David"/>
          <w:sz w:val="24"/>
          <w:szCs w:val="24"/>
          <w:rtl/>
        </w:rPr>
        <w:footnoteReference w:id="5"/>
      </w:r>
      <w:r w:rsidRPr="00D876B6">
        <w:rPr>
          <w:rFonts w:cs="David" w:hint="cs"/>
          <w:sz w:val="24"/>
          <w:szCs w:val="24"/>
          <w:rtl/>
        </w:rPr>
        <w:t>:</w:t>
      </w:r>
    </w:p>
    <w:p w:rsidR="00B255A5" w:rsidRPr="006C2FB5" w:rsidRDefault="00B255A5" w:rsidP="00B255A5">
      <w:pPr>
        <w:pStyle w:val="BODYVERDICT"/>
        <w:spacing w:line="360" w:lineRule="auto"/>
        <w:ind w:left="567" w:right="567"/>
        <w:jc w:val="both"/>
        <w:rPr>
          <w:rFonts w:ascii="David" w:hAnsi="David" w:cs="David"/>
          <w:b/>
          <w:bCs/>
          <w:sz w:val="24"/>
          <w:szCs w:val="24"/>
          <w:rtl/>
        </w:rPr>
      </w:pPr>
      <w:r w:rsidRPr="006C2FB5">
        <w:rPr>
          <w:rFonts w:ascii="David" w:hAnsi="David" w:cs="David"/>
          <w:b/>
          <w:bCs/>
          <w:sz w:val="24"/>
          <w:szCs w:val="24"/>
          <w:rtl/>
        </w:rPr>
        <w:t xml:space="preserve">"...היעדר הקנטור נועד להבחין בין החלטה ביישוב דעת להמית את הקורבן, לבין החלטה להמית, מבלי שנשקלו </w:t>
      </w:r>
      <w:r w:rsidRPr="006C2FB5">
        <w:rPr>
          <w:rFonts w:ascii="David" w:hAnsi="David" w:cs="David"/>
          <w:b/>
          <w:bCs/>
          <w:spacing w:val="0"/>
          <w:sz w:val="24"/>
          <w:szCs w:val="24"/>
          <w:rtl/>
        </w:rPr>
        <w:t xml:space="preserve">התוצאות המוסריות </w:t>
      </w:r>
      <w:r w:rsidRPr="006C2FB5">
        <w:rPr>
          <w:rFonts w:ascii="David" w:hAnsi="David" w:cs="David"/>
          <w:b/>
          <w:bCs/>
          <w:sz w:val="24"/>
          <w:szCs w:val="24"/>
          <w:rtl/>
        </w:rPr>
        <w:t xml:space="preserve">במעשה ההמתה. זהו הדגש העיקרי בהבחנה בין "כוונה תחילה", בה המבקש שוקל ביישוב דעת את התוצאות המוסריות של מעשיו, לבין הכוונה הספונטנית, בה אמנם </w:t>
      </w:r>
      <w:r w:rsidRPr="006C2FB5">
        <w:rPr>
          <w:rFonts w:ascii="David" w:hAnsi="David" w:cs="David"/>
          <w:b/>
          <w:bCs/>
          <w:sz w:val="24"/>
          <w:szCs w:val="24"/>
          <w:rtl/>
        </w:rPr>
        <w:lastRenderedPageBreak/>
        <w:t xml:space="preserve">קיימת החלטה להמית, אך היא איננה מלווה </w:t>
      </w:r>
      <w:r w:rsidRPr="006C2FB5">
        <w:rPr>
          <w:rFonts w:ascii="David" w:hAnsi="David" w:cs="David"/>
          <w:b/>
          <w:bCs/>
          <w:spacing w:val="0"/>
          <w:sz w:val="24"/>
          <w:szCs w:val="24"/>
          <w:rtl/>
        </w:rPr>
        <w:t>בשקילה מוסרית</w:t>
      </w:r>
      <w:r w:rsidRPr="006C2FB5">
        <w:rPr>
          <w:rFonts w:ascii="David" w:hAnsi="David" w:cs="David"/>
          <w:b/>
          <w:bCs/>
          <w:sz w:val="24"/>
          <w:szCs w:val="24"/>
          <w:rtl/>
        </w:rPr>
        <w:t xml:space="preserve"> של השלכות המעשה. </w:t>
      </w:r>
    </w:p>
    <w:p w:rsidR="00B255A5" w:rsidRPr="00851DE7" w:rsidRDefault="00B255A5" w:rsidP="00B255A5">
      <w:pPr>
        <w:pStyle w:val="BODYVERDICT"/>
        <w:spacing w:line="360" w:lineRule="auto"/>
        <w:ind w:left="567" w:right="567"/>
        <w:jc w:val="both"/>
        <w:rPr>
          <w:rFonts w:ascii="David" w:hAnsi="David" w:cs="David"/>
          <w:b/>
          <w:bCs/>
          <w:sz w:val="24"/>
          <w:szCs w:val="24"/>
          <w:rtl/>
        </w:rPr>
      </w:pPr>
      <w:r w:rsidRPr="00851DE7">
        <w:rPr>
          <w:rFonts w:ascii="David" w:hAnsi="David" w:cs="David"/>
          <w:b/>
          <w:bCs/>
          <w:sz w:val="24"/>
          <w:szCs w:val="24"/>
          <w:rtl/>
        </w:rPr>
        <w:t>הבחנה דומה אף נעשתה בספרות בעקבות פסק הדין ב</w:t>
      </w:r>
      <w:r w:rsidRPr="00851DE7">
        <w:rPr>
          <w:rFonts w:ascii="David" w:hAnsi="David" w:cs="David"/>
          <w:b/>
          <w:bCs/>
          <w:spacing w:val="0"/>
          <w:sz w:val="24"/>
          <w:szCs w:val="24"/>
          <w:rtl/>
        </w:rPr>
        <w:t>עניין ביטון</w:t>
      </w:r>
      <w:r w:rsidRPr="00851DE7">
        <w:rPr>
          <w:rFonts w:ascii="David" w:hAnsi="David" w:cs="David"/>
          <w:b/>
          <w:bCs/>
          <w:sz w:val="24"/>
          <w:szCs w:val="24"/>
          <w:rtl/>
        </w:rPr>
        <w:t xml:space="preserve">. בנושא זה כתבו המלומדים </w:t>
      </w:r>
      <w:r w:rsidRPr="00851DE7">
        <w:rPr>
          <w:rFonts w:ascii="David" w:hAnsi="David" w:cs="David"/>
          <w:b/>
          <w:bCs/>
          <w:spacing w:val="0"/>
          <w:sz w:val="24"/>
          <w:szCs w:val="24"/>
          <w:rtl/>
        </w:rPr>
        <w:t>מ' קרמניצר</w:t>
      </w:r>
      <w:r w:rsidRPr="00851DE7">
        <w:rPr>
          <w:rFonts w:ascii="David" w:hAnsi="David" w:cs="David"/>
          <w:b/>
          <w:bCs/>
          <w:sz w:val="24"/>
          <w:szCs w:val="24"/>
          <w:rtl/>
        </w:rPr>
        <w:t xml:space="preserve"> ו-</w:t>
      </w:r>
      <w:r w:rsidRPr="00851DE7">
        <w:rPr>
          <w:rFonts w:ascii="David" w:hAnsi="David" w:cs="David"/>
          <w:b/>
          <w:bCs/>
          <w:spacing w:val="0"/>
          <w:sz w:val="24"/>
          <w:szCs w:val="24"/>
          <w:rtl/>
        </w:rPr>
        <w:t xml:space="preserve">ל' לבנון </w:t>
      </w:r>
      <w:r w:rsidRPr="00851DE7">
        <w:rPr>
          <w:rFonts w:ascii="David" w:hAnsi="David" w:cs="David"/>
          <w:b/>
          <w:bCs/>
          <w:sz w:val="24"/>
          <w:szCs w:val="24"/>
          <w:rtl/>
        </w:rPr>
        <w:t>את הדברים הבאים:</w:t>
      </w:r>
    </w:p>
    <w:p w:rsidR="00B255A5" w:rsidRPr="00851DE7" w:rsidRDefault="00B255A5" w:rsidP="00B255A5">
      <w:pPr>
        <w:pStyle w:val="BODYVERDICT"/>
        <w:spacing w:line="360" w:lineRule="auto"/>
        <w:ind w:firstLine="720"/>
        <w:jc w:val="both"/>
        <w:rPr>
          <w:rFonts w:ascii="David" w:hAnsi="David" w:cs="David"/>
          <w:b/>
          <w:bCs/>
          <w:sz w:val="24"/>
          <w:szCs w:val="24"/>
          <w:rtl/>
        </w:rPr>
      </w:pPr>
      <w:r w:rsidRPr="00851DE7">
        <w:rPr>
          <w:rFonts w:ascii="David" w:hAnsi="David" w:cs="David"/>
          <w:b/>
          <w:bCs/>
          <w:sz w:val="24"/>
          <w:szCs w:val="24"/>
          <w:rtl/>
        </w:rPr>
        <w:t xml:space="preserve"> </w:t>
      </w:r>
    </w:p>
    <w:p w:rsidR="00B255A5" w:rsidRPr="006C2FB5" w:rsidRDefault="00B255A5" w:rsidP="00B255A5">
      <w:pPr>
        <w:pStyle w:val="Ruller5"/>
        <w:rPr>
          <w:rFonts w:ascii="David" w:hAnsi="David" w:cs="David"/>
          <w:b/>
          <w:bCs/>
          <w:sz w:val="24"/>
          <w:szCs w:val="24"/>
          <w:rtl/>
        </w:rPr>
      </w:pPr>
      <w:r w:rsidRPr="00851DE7">
        <w:rPr>
          <w:rFonts w:ascii="David" w:hAnsi="David" w:cs="David"/>
          <w:b/>
          <w:bCs/>
          <w:sz w:val="24"/>
          <w:szCs w:val="24"/>
          <w:rtl/>
        </w:rPr>
        <w:t>"המאפיין השני של הממד הסובייקטיבי הוא זה של היעדר שקילה. פסק דינו של הנשיא ברק בפרשת ביטון מעמיד במרכז את הממד של היעדר שקילה, ופורט אותו למאפיינים שמהם משתקפים יפה מאפייניה ההופכיים של הכוונה-תחילה: היעדר שיקול ויישוב הדעת, חשיבה על התוצאות, הערכה מוסרית של המעשה ושל תוצאותיו</w:t>
      </w:r>
      <w:r w:rsidRPr="006C2FB5">
        <w:rPr>
          <w:rFonts w:ascii="David" w:hAnsi="David" w:cs="David"/>
          <w:b/>
          <w:bCs/>
          <w:sz w:val="24"/>
          <w:szCs w:val="24"/>
          <w:rtl/>
        </w:rPr>
        <w:t>.</w:t>
      </w:r>
    </w:p>
    <w:p w:rsidR="00B255A5" w:rsidRPr="006C2FB5" w:rsidRDefault="00B255A5" w:rsidP="00B255A5">
      <w:pPr>
        <w:pStyle w:val="Ruller5"/>
        <w:rPr>
          <w:rFonts w:ascii="David" w:hAnsi="David" w:cs="David"/>
          <w:b/>
          <w:bCs/>
          <w:sz w:val="24"/>
          <w:szCs w:val="24"/>
          <w:rtl/>
        </w:rPr>
      </w:pPr>
      <w:r w:rsidRPr="006C2FB5">
        <w:rPr>
          <w:rFonts w:ascii="David" w:hAnsi="David" w:cs="David"/>
          <w:b/>
          <w:bCs/>
          <w:sz w:val="24"/>
          <w:szCs w:val="24"/>
          <w:rtl/>
        </w:rPr>
        <w:t xml:space="preserve"> </w:t>
      </w:r>
    </w:p>
    <w:p w:rsidR="00B255A5" w:rsidRPr="006C2FB5" w:rsidRDefault="00B255A5" w:rsidP="00B255A5">
      <w:pPr>
        <w:spacing w:after="120" w:line="360" w:lineRule="auto"/>
        <w:ind w:left="567" w:right="567"/>
        <w:jc w:val="both"/>
        <w:rPr>
          <w:rFonts w:ascii="David" w:hAnsi="David" w:cs="David"/>
          <w:b/>
          <w:bCs/>
          <w:sz w:val="24"/>
          <w:szCs w:val="24"/>
          <w:u w:val="single"/>
          <w:rtl/>
        </w:rPr>
      </w:pPr>
      <w:r w:rsidRPr="006C2FB5">
        <w:rPr>
          <w:rFonts w:ascii="David" w:hAnsi="David" w:cs="David"/>
          <w:b/>
          <w:bCs/>
          <w:sz w:val="24"/>
          <w:szCs w:val="24"/>
          <w:rtl/>
        </w:rPr>
        <w:t>המאפיין של היעדר שקילה הוא אכן המאפיין הדומיננטי של הממד הסובייקטיבי במסגרת תפיסה של קנטור כגורם מבחין בין כוונת-תחילה לכוונה ספונטאנית. חשיבותו של המאפיין של היעדר שקילה, על השתלבותו בדוקטרינת הקנטור בכללותה, היא בתרומתו להבהרת ההבחנה בין כוונה תחילה לכוונה ספונטנית: על דרך ההנגדה להיעדר השקילה במסגרת פרדיגמת הקנטור הכוללת ניתן בנקל להבחין כי כוונת תחילה כוללת יסודות קוגניטיביים של מתן תשומת לב – ולו תשומת לב כלשהי – למשמעויות המוסריות של ההמתה; הפנמה של מהותו האמיתית של מעשה ההמתה, לא ברמה של ססמה או כותרת, ושל עומקן של השלכותיה"</w:t>
      </w:r>
      <w:r w:rsidRPr="006C2FB5">
        <w:rPr>
          <w:rFonts w:ascii="David" w:hAnsi="David" w:cs="David"/>
          <w:b/>
          <w:bCs/>
          <w:sz w:val="24"/>
          <w:szCs w:val="24"/>
          <w:u w:val="single"/>
          <w:rtl/>
        </w:rPr>
        <w:t>.</w:t>
      </w:r>
    </w:p>
    <w:p w:rsidR="00B255A5" w:rsidRDefault="00B255A5" w:rsidP="00B255A5">
      <w:pPr>
        <w:pStyle w:val="ruller41"/>
        <w:rPr>
          <w:rFonts w:ascii="David" w:eastAsiaTheme="minorHAnsi" w:hAnsi="David" w:cs="David"/>
          <w:spacing w:val="0"/>
          <w:sz w:val="24"/>
          <w:szCs w:val="24"/>
          <w:rtl/>
          <w:lang w:eastAsia="en-US"/>
        </w:rPr>
      </w:pPr>
      <w:r w:rsidRPr="006C2FB5">
        <w:rPr>
          <w:rFonts w:ascii="David" w:eastAsiaTheme="minorHAnsi" w:hAnsi="David" w:cs="David" w:hint="cs"/>
          <w:spacing w:val="0"/>
          <w:sz w:val="24"/>
          <w:szCs w:val="24"/>
          <w:rtl/>
          <w:lang w:eastAsia="en-US"/>
        </w:rPr>
        <w:t xml:space="preserve">עמד על כך גם הנשיא ברק בדנ"פ </w:t>
      </w:r>
      <w:r>
        <w:rPr>
          <w:rFonts w:ascii="David" w:eastAsiaTheme="minorHAnsi" w:hAnsi="David" w:cs="David" w:hint="cs"/>
          <w:spacing w:val="0"/>
          <w:sz w:val="24"/>
          <w:szCs w:val="24"/>
          <w:rtl/>
          <w:lang w:eastAsia="en-US"/>
        </w:rPr>
        <w:t>בפרשת</w:t>
      </w:r>
      <w:r w:rsidRPr="005A02C3">
        <w:rPr>
          <w:rFonts w:ascii="David" w:eastAsiaTheme="minorHAnsi" w:hAnsi="David" w:cs="David" w:hint="cs"/>
          <w:b/>
          <w:bCs/>
          <w:spacing w:val="0"/>
          <w:sz w:val="24"/>
          <w:szCs w:val="24"/>
          <w:rtl/>
          <w:lang w:eastAsia="en-US"/>
        </w:rPr>
        <w:t xml:space="preserve"> ביטון</w:t>
      </w:r>
      <w:r>
        <w:rPr>
          <w:rStyle w:val="a7"/>
          <w:rFonts w:ascii="David" w:eastAsiaTheme="minorHAnsi" w:hAnsi="David" w:cs="David"/>
          <w:spacing w:val="0"/>
          <w:sz w:val="24"/>
          <w:szCs w:val="24"/>
          <w:rtl/>
          <w:lang w:eastAsia="en-US"/>
        </w:rPr>
        <w:footnoteReference w:id="6"/>
      </w:r>
      <w:r w:rsidRPr="006C2FB5">
        <w:rPr>
          <w:rFonts w:ascii="David" w:eastAsiaTheme="minorHAnsi" w:hAnsi="David" w:cs="David" w:hint="cs"/>
          <w:spacing w:val="0"/>
          <w:sz w:val="24"/>
          <w:szCs w:val="24"/>
          <w:rtl/>
          <w:lang w:eastAsia="en-US"/>
        </w:rPr>
        <w:t>:</w:t>
      </w:r>
    </w:p>
    <w:p w:rsidR="00B255A5" w:rsidRPr="006C2FB5" w:rsidRDefault="00B255A5" w:rsidP="00B255A5">
      <w:pPr>
        <w:pStyle w:val="ruller41"/>
        <w:rPr>
          <w:rFonts w:ascii="David" w:eastAsiaTheme="minorHAnsi" w:hAnsi="David" w:cs="David"/>
          <w:spacing w:val="0"/>
          <w:sz w:val="24"/>
          <w:szCs w:val="24"/>
          <w:rtl/>
          <w:lang w:eastAsia="en-US"/>
        </w:rPr>
      </w:pPr>
    </w:p>
    <w:p w:rsidR="00B255A5" w:rsidRPr="006C2FB5" w:rsidRDefault="00B255A5" w:rsidP="00B255A5">
      <w:pPr>
        <w:pStyle w:val="ruller41"/>
        <w:ind w:left="567" w:right="567"/>
        <w:rPr>
          <w:rFonts w:ascii="David" w:eastAsiaTheme="minorHAnsi" w:hAnsi="David" w:cs="David"/>
          <w:b/>
          <w:bCs/>
          <w:spacing w:val="0"/>
          <w:sz w:val="24"/>
          <w:szCs w:val="24"/>
          <w:rtl/>
          <w:lang w:eastAsia="en-US"/>
        </w:rPr>
      </w:pPr>
      <w:r w:rsidRPr="006C2FB5">
        <w:rPr>
          <w:rFonts w:ascii="David" w:eastAsiaTheme="minorHAnsi" w:hAnsi="David" w:cs="David" w:hint="cs"/>
          <w:b/>
          <w:bCs/>
          <w:spacing w:val="0"/>
          <w:sz w:val="24"/>
          <w:szCs w:val="24"/>
          <w:rtl/>
          <w:lang w:eastAsia="en-US"/>
        </w:rPr>
        <w:t>"</w:t>
      </w:r>
      <w:r>
        <w:rPr>
          <w:rFonts w:ascii="David" w:eastAsiaTheme="minorHAnsi" w:hAnsi="David" w:cs="David" w:hint="cs"/>
          <w:b/>
          <w:bCs/>
          <w:spacing w:val="0"/>
          <w:sz w:val="24"/>
          <w:szCs w:val="24"/>
          <w:rtl/>
          <w:lang w:eastAsia="en-US"/>
        </w:rPr>
        <w:t>...</w:t>
      </w:r>
      <w:r w:rsidRPr="006C2FB5">
        <w:rPr>
          <w:rFonts w:ascii="David" w:eastAsiaTheme="minorHAnsi" w:hAnsi="David" w:cs="David" w:hint="eastAsia"/>
          <w:b/>
          <w:bCs/>
          <w:spacing w:val="0"/>
          <w:sz w:val="24"/>
          <w:szCs w:val="24"/>
          <w:rtl/>
          <w:lang w:eastAsia="en-US"/>
        </w:rPr>
        <w:t>הנה</w:t>
      </w:r>
      <w:r w:rsidRPr="006C2FB5">
        <w:rPr>
          <w:rFonts w:ascii="David" w:eastAsiaTheme="minorHAnsi" w:hAnsi="David" w:cs="David"/>
          <w:b/>
          <w:bCs/>
          <w:spacing w:val="0"/>
          <w:sz w:val="24"/>
          <w:szCs w:val="24"/>
          <w:rtl/>
          <w:lang w:eastAsia="en-US"/>
        </w:rPr>
        <w:t xml:space="preserve"> כי כן, הטעמים המונחים ביסוד שלילת ה"כוונה תחילה" בשל "התגרות" על פי המבחן הסובייקטיבי נגזרים מהסטיגמה המלווה את עבירת הרצח, מהאופי המנדטורי של מאסר העולם, מ"חולשת הטבע האנושי", ומההבחנה המוסרית בין מי שפועל מתוך "דם קר" לבין מי שמעצוריו הנפשיים ובלמיו המוסריים נחלשו בשל ההתגרות בו (ראו </w:t>
      </w:r>
      <w:r w:rsidRPr="006C2FB5">
        <w:rPr>
          <w:rFonts w:ascii="David" w:eastAsiaTheme="minorHAnsi" w:hAnsi="David" w:cs="David" w:hint="eastAsia"/>
          <w:b/>
          <w:bCs/>
          <w:spacing w:val="0"/>
          <w:sz w:val="24"/>
          <w:szCs w:val="24"/>
          <w:rtl/>
          <w:lang w:eastAsia="en-US"/>
        </w:rPr>
        <w:t>פרשת</w:t>
      </w:r>
      <w:r w:rsidRPr="006C2FB5">
        <w:rPr>
          <w:rFonts w:ascii="David" w:eastAsiaTheme="minorHAnsi" w:hAnsi="David" w:cs="David"/>
          <w:b/>
          <w:bCs/>
          <w:spacing w:val="0"/>
          <w:sz w:val="24"/>
          <w:szCs w:val="24"/>
          <w:rtl/>
          <w:lang w:eastAsia="en-US"/>
        </w:rPr>
        <w:t xml:space="preserve"> אליאבייב, </w:t>
      </w:r>
      <w:r w:rsidRPr="006C2FB5">
        <w:rPr>
          <w:rFonts w:ascii="David" w:eastAsiaTheme="minorHAnsi" w:hAnsi="David" w:cs="David" w:hint="eastAsia"/>
          <w:b/>
          <w:bCs/>
          <w:spacing w:val="0"/>
          <w:sz w:val="24"/>
          <w:szCs w:val="24"/>
          <w:rtl/>
          <w:lang w:eastAsia="en-US"/>
        </w:rPr>
        <w:t>עמ</w:t>
      </w:r>
      <w:r w:rsidRPr="006C2FB5">
        <w:rPr>
          <w:rFonts w:ascii="David" w:eastAsiaTheme="minorHAnsi" w:hAnsi="David" w:cs="David"/>
          <w:b/>
          <w:bCs/>
          <w:spacing w:val="0"/>
          <w:sz w:val="24"/>
          <w:szCs w:val="24"/>
          <w:rtl/>
          <w:lang w:eastAsia="en-US"/>
        </w:rPr>
        <w:t>' 471).</w:t>
      </w:r>
      <w:r w:rsidRPr="006C2FB5">
        <w:rPr>
          <w:rFonts w:ascii="David" w:eastAsiaTheme="minorHAnsi" w:hAnsi="David" w:cs="David" w:hint="cs"/>
          <w:b/>
          <w:bCs/>
          <w:spacing w:val="0"/>
          <w:sz w:val="24"/>
          <w:szCs w:val="24"/>
          <w:rtl/>
          <w:lang w:eastAsia="en-US"/>
        </w:rPr>
        <w:t xml:space="preserve">" </w:t>
      </w:r>
    </w:p>
    <w:p w:rsidR="00B255A5" w:rsidRDefault="00B255A5" w:rsidP="00B255A5">
      <w:pPr>
        <w:spacing w:before="120" w:after="0" w:line="360" w:lineRule="auto"/>
        <w:jc w:val="both"/>
        <w:rPr>
          <w:rFonts w:cs="David"/>
          <w:sz w:val="24"/>
          <w:szCs w:val="24"/>
          <w:rtl/>
        </w:rPr>
      </w:pPr>
    </w:p>
    <w:p w:rsidR="00B255A5" w:rsidRPr="00AD45D2" w:rsidRDefault="00B255A5" w:rsidP="00AD45D2">
      <w:pPr>
        <w:pStyle w:val="ruller41"/>
        <w:rPr>
          <w:rFonts w:ascii="David" w:eastAsiaTheme="minorHAnsi" w:hAnsi="David" w:cs="David"/>
          <w:spacing w:val="0"/>
          <w:sz w:val="24"/>
          <w:szCs w:val="24"/>
          <w:rtl/>
          <w:lang w:eastAsia="en-US"/>
        </w:rPr>
      </w:pPr>
      <w:r w:rsidRPr="00AD45D2">
        <w:rPr>
          <w:rFonts w:ascii="David" w:eastAsiaTheme="minorHAnsi" w:hAnsi="David" w:cs="David" w:hint="cs"/>
          <w:spacing w:val="0"/>
          <w:sz w:val="24"/>
          <w:szCs w:val="24"/>
          <w:rtl/>
          <w:lang w:eastAsia="en-US"/>
        </w:rPr>
        <w:t>גם בספרות, כאמור, הכירו בהבחנה זו בין רצח בכוונה תחילה לרצח בעקבות התגרות, כדברי פרופ' קרמניצר:</w:t>
      </w:r>
    </w:p>
    <w:p w:rsidR="00B255A5" w:rsidRDefault="00B255A5" w:rsidP="00B255A5">
      <w:pPr>
        <w:spacing w:before="120" w:after="0" w:line="360" w:lineRule="auto"/>
        <w:ind w:left="567" w:right="567"/>
        <w:jc w:val="both"/>
        <w:rPr>
          <w:rtl/>
        </w:rPr>
      </w:pPr>
      <w:r w:rsidRPr="003E2D07">
        <w:rPr>
          <w:rFonts w:ascii="David" w:hAnsi="David" w:cs="David" w:hint="cs"/>
          <w:b/>
          <w:bCs/>
          <w:sz w:val="24"/>
          <w:szCs w:val="24"/>
          <w:rtl/>
        </w:rPr>
        <w:t xml:space="preserve">"הריגה בדם חם הינה בעלת אופי מגונה פחות, </w:t>
      </w:r>
      <w:r>
        <w:rPr>
          <w:rFonts w:ascii="David" w:hAnsi="David" w:cs="David" w:hint="cs"/>
          <w:b/>
          <w:bCs/>
          <w:sz w:val="24"/>
          <w:szCs w:val="24"/>
          <w:rtl/>
        </w:rPr>
        <w:t>היא משקפת צמצום השליטה העצמית ההופך את הציות לחוק לקשה במיוחד בהשוואה למצב רגיל.....</w:t>
      </w:r>
      <w:r w:rsidRPr="003E2D07">
        <w:rPr>
          <w:rFonts w:ascii="David" w:hAnsi="David" w:cs="David" w:hint="cs"/>
          <w:b/>
          <w:bCs/>
          <w:sz w:val="24"/>
          <w:szCs w:val="24"/>
          <w:rtl/>
        </w:rPr>
        <w:t>אלמלא ההתגרות, לא היה העושה מבצע את מעשהו ובמעשהו הוא מפתיע קודם כל את עצמו ואין היא מעידה על עמדה אנטי-חברתית טבועה ומושרשת המשתקפת ברצח בדם קר</w:t>
      </w:r>
      <w:r w:rsidRPr="003E2D07">
        <w:rPr>
          <w:rFonts w:cs="FrankRuehl" w:hint="cs"/>
          <w:sz w:val="28"/>
          <w:szCs w:val="28"/>
          <w:rtl/>
        </w:rPr>
        <w:t>"</w:t>
      </w:r>
      <w:r w:rsidRPr="003E2D07">
        <w:rPr>
          <w:rStyle w:val="a7"/>
          <w:rFonts w:cs="FrankRuehl"/>
          <w:sz w:val="28"/>
          <w:szCs w:val="28"/>
          <w:rtl/>
        </w:rPr>
        <w:footnoteReference w:id="7"/>
      </w:r>
      <w:r w:rsidRPr="003E2D07">
        <w:rPr>
          <w:rFonts w:cs="FrankRuehl" w:hint="cs"/>
          <w:sz w:val="28"/>
          <w:szCs w:val="28"/>
          <w:rtl/>
        </w:rPr>
        <w:t xml:space="preserve">. </w:t>
      </w:r>
    </w:p>
    <w:p w:rsidR="00B255A5" w:rsidRDefault="00B255A5" w:rsidP="00B255A5">
      <w:pPr>
        <w:spacing w:before="120" w:after="0" w:line="360" w:lineRule="auto"/>
        <w:jc w:val="both"/>
        <w:rPr>
          <w:rFonts w:cs="David"/>
          <w:sz w:val="24"/>
          <w:szCs w:val="24"/>
          <w:rtl/>
        </w:rPr>
      </w:pPr>
    </w:p>
    <w:p w:rsidR="00B255A5" w:rsidRPr="008B41FD" w:rsidRDefault="00B255A5" w:rsidP="00B255A5">
      <w:pPr>
        <w:spacing w:before="120" w:after="0" w:line="360" w:lineRule="auto"/>
        <w:jc w:val="both"/>
        <w:rPr>
          <w:rFonts w:cs="David"/>
          <w:sz w:val="24"/>
          <w:szCs w:val="24"/>
          <w:rtl/>
        </w:rPr>
      </w:pPr>
    </w:p>
    <w:p w:rsidR="00B255A5" w:rsidRPr="00601CD3" w:rsidRDefault="00B255A5" w:rsidP="00B255A5">
      <w:pPr>
        <w:spacing w:before="120" w:after="0" w:line="360" w:lineRule="auto"/>
        <w:jc w:val="both"/>
        <w:rPr>
          <w:rFonts w:cs="David"/>
          <w:b/>
          <w:bCs/>
          <w:sz w:val="26"/>
          <w:szCs w:val="26"/>
          <w:rtl/>
        </w:rPr>
      </w:pPr>
      <w:r w:rsidRPr="00601CD3">
        <w:rPr>
          <w:rFonts w:cs="David" w:hint="eastAsia"/>
          <w:b/>
          <w:bCs/>
          <w:sz w:val="26"/>
          <w:szCs w:val="26"/>
          <w:rtl/>
        </w:rPr>
        <w:t>התגרות</w:t>
      </w:r>
      <w:r w:rsidRPr="00601CD3">
        <w:rPr>
          <w:rFonts w:cs="David"/>
          <w:b/>
          <w:bCs/>
          <w:sz w:val="26"/>
          <w:szCs w:val="26"/>
          <w:rtl/>
        </w:rPr>
        <w:t xml:space="preserve"> </w:t>
      </w:r>
      <w:r w:rsidRPr="00601CD3">
        <w:rPr>
          <w:rFonts w:cs="David" w:hint="eastAsia"/>
          <w:b/>
          <w:bCs/>
          <w:sz w:val="26"/>
          <w:szCs w:val="26"/>
          <w:rtl/>
        </w:rPr>
        <w:t>מהי</w:t>
      </w:r>
      <w:r w:rsidRPr="00601CD3">
        <w:rPr>
          <w:rFonts w:cs="David"/>
          <w:b/>
          <w:bCs/>
          <w:sz w:val="26"/>
          <w:szCs w:val="26"/>
          <w:rtl/>
        </w:rPr>
        <w:t>?</w:t>
      </w:r>
    </w:p>
    <w:p w:rsidR="00B255A5" w:rsidRDefault="00B255A5" w:rsidP="00B255A5">
      <w:pPr>
        <w:pStyle w:val="ruller41"/>
        <w:rPr>
          <w:rFonts w:ascii="David" w:eastAsiaTheme="minorHAnsi" w:hAnsi="David" w:cs="David"/>
          <w:spacing w:val="0"/>
          <w:sz w:val="24"/>
          <w:szCs w:val="24"/>
          <w:rtl/>
          <w:lang w:eastAsia="en-US"/>
        </w:rPr>
      </w:pPr>
      <w:r>
        <w:rPr>
          <w:rFonts w:ascii="David" w:eastAsiaTheme="minorHAnsi" w:hAnsi="David" w:cs="David" w:hint="cs"/>
          <w:spacing w:val="0"/>
          <w:sz w:val="24"/>
          <w:szCs w:val="24"/>
          <w:rtl/>
          <w:lang w:eastAsia="en-US"/>
        </w:rPr>
        <w:t>בפסיקה ובספרות דנו רבות בשאלה מה ייחשב כהתגרות. בספרות הובעו דעות לפיהן ההתגרות היא התנהגות לא לגיטימית שלא ניתן להצדיקה בסדרי חיים תקינים בחברה (כדעתו של פרופ' פלר) או כהתנהגות פוגעת, מעליבה או מרגיזה</w:t>
      </w:r>
      <w:r>
        <w:rPr>
          <w:rStyle w:val="a7"/>
          <w:rFonts w:ascii="David" w:eastAsiaTheme="minorHAnsi" w:hAnsi="David" w:cs="David"/>
          <w:spacing w:val="0"/>
          <w:sz w:val="24"/>
          <w:szCs w:val="24"/>
          <w:rtl/>
          <w:lang w:eastAsia="en-US"/>
        </w:rPr>
        <w:footnoteReference w:id="8"/>
      </w:r>
      <w:r>
        <w:rPr>
          <w:rFonts w:ascii="David" w:eastAsiaTheme="minorHAnsi" w:hAnsi="David" w:cs="David" w:hint="cs"/>
          <w:spacing w:val="0"/>
          <w:sz w:val="24"/>
          <w:szCs w:val="24"/>
          <w:rtl/>
          <w:lang w:eastAsia="en-US"/>
        </w:rPr>
        <w:t>. כך גם בתי המשפט התחבטו בשאלה זו וקבעו כי לא כל התנהגות המרגיזה או פוגעת בממית תחשב כהתגרות.</w:t>
      </w:r>
    </w:p>
    <w:p w:rsidR="00B255A5" w:rsidRDefault="00B255A5" w:rsidP="00B255A5">
      <w:pPr>
        <w:pStyle w:val="ruller41"/>
        <w:rPr>
          <w:rFonts w:ascii="David" w:eastAsiaTheme="minorHAnsi" w:hAnsi="David" w:cs="David"/>
          <w:spacing w:val="0"/>
          <w:sz w:val="24"/>
          <w:szCs w:val="24"/>
          <w:rtl/>
          <w:lang w:eastAsia="en-US"/>
        </w:rPr>
      </w:pPr>
    </w:p>
    <w:p w:rsidR="00B255A5" w:rsidRDefault="00B255A5" w:rsidP="00B255A5">
      <w:pPr>
        <w:pStyle w:val="ruller41"/>
        <w:rPr>
          <w:rFonts w:ascii="David" w:eastAsiaTheme="minorHAnsi" w:hAnsi="David" w:cs="David"/>
          <w:spacing w:val="0"/>
          <w:sz w:val="24"/>
          <w:szCs w:val="24"/>
          <w:rtl/>
          <w:lang w:eastAsia="en-US"/>
        </w:rPr>
      </w:pPr>
      <w:r>
        <w:rPr>
          <w:rFonts w:ascii="David" w:eastAsiaTheme="minorHAnsi" w:hAnsi="David" w:cs="David" w:hint="cs"/>
          <w:spacing w:val="0"/>
          <w:sz w:val="24"/>
          <w:szCs w:val="24"/>
          <w:rtl/>
          <w:lang w:eastAsia="en-US"/>
        </w:rPr>
        <w:t xml:space="preserve">עמד על כך הנשיא </w:t>
      </w:r>
      <w:r w:rsidRPr="00601CD3">
        <w:rPr>
          <w:rFonts w:ascii="David" w:eastAsiaTheme="minorHAnsi" w:hAnsi="David" w:cs="David" w:hint="cs"/>
          <w:spacing w:val="0"/>
          <w:sz w:val="24"/>
          <w:szCs w:val="24"/>
          <w:rtl/>
          <w:lang w:eastAsia="en-US"/>
        </w:rPr>
        <w:t>ברק ב</w:t>
      </w:r>
      <w:r>
        <w:rPr>
          <w:rFonts w:ascii="David" w:eastAsiaTheme="minorHAnsi" w:hAnsi="David" w:cs="David" w:hint="cs"/>
          <w:spacing w:val="0"/>
          <w:sz w:val="24"/>
          <w:szCs w:val="24"/>
          <w:rtl/>
          <w:lang w:eastAsia="en-US"/>
        </w:rPr>
        <w:t xml:space="preserve">פסה"ד בפרשת </w:t>
      </w:r>
      <w:r w:rsidRPr="005A02C3">
        <w:rPr>
          <w:rFonts w:ascii="David" w:eastAsiaTheme="minorHAnsi" w:hAnsi="David" w:cs="David" w:hint="cs"/>
          <w:b/>
          <w:bCs/>
          <w:spacing w:val="0"/>
          <w:sz w:val="24"/>
          <w:szCs w:val="24"/>
          <w:rtl/>
          <w:lang w:eastAsia="en-US"/>
        </w:rPr>
        <w:t xml:space="preserve">ביטון </w:t>
      </w:r>
      <w:r>
        <w:rPr>
          <w:rFonts w:ascii="David" w:eastAsiaTheme="minorHAnsi" w:hAnsi="David" w:cs="David" w:hint="cs"/>
          <w:spacing w:val="0"/>
          <w:sz w:val="24"/>
          <w:szCs w:val="24"/>
          <w:rtl/>
          <w:lang w:eastAsia="en-US"/>
        </w:rPr>
        <w:t>כדלקמן</w:t>
      </w:r>
      <w:r w:rsidRPr="00601CD3">
        <w:rPr>
          <w:rFonts w:ascii="David" w:eastAsiaTheme="minorHAnsi" w:hAnsi="David" w:cs="David" w:hint="cs"/>
          <w:spacing w:val="0"/>
          <w:sz w:val="24"/>
          <w:szCs w:val="24"/>
          <w:rtl/>
          <w:lang w:eastAsia="en-US"/>
        </w:rPr>
        <w:t>:</w:t>
      </w:r>
    </w:p>
    <w:p w:rsidR="00B255A5" w:rsidRPr="00B255A5" w:rsidRDefault="00B255A5" w:rsidP="00B255A5">
      <w:pPr>
        <w:pStyle w:val="ruller41"/>
        <w:ind w:left="567" w:right="567"/>
        <w:rPr>
          <w:rFonts w:ascii="David" w:eastAsiaTheme="minorHAnsi" w:hAnsi="David" w:cs="David"/>
          <w:b/>
          <w:bCs/>
          <w:spacing w:val="0"/>
          <w:sz w:val="24"/>
          <w:szCs w:val="24"/>
          <w:lang w:eastAsia="en-US"/>
        </w:rPr>
      </w:pPr>
      <w:r>
        <w:rPr>
          <w:rFonts w:ascii="David" w:eastAsiaTheme="minorHAnsi" w:hAnsi="David" w:cs="David" w:hint="cs"/>
          <w:b/>
          <w:bCs/>
          <w:spacing w:val="0"/>
          <w:sz w:val="24"/>
          <w:szCs w:val="24"/>
          <w:rtl/>
          <w:lang w:eastAsia="en-US"/>
        </w:rPr>
        <w:t>"</w:t>
      </w:r>
      <w:r w:rsidRPr="00484929">
        <w:rPr>
          <w:rFonts w:ascii="David" w:eastAsiaTheme="minorHAnsi" w:hAnsi="David" w:cs="David" w:hint="cs"/>
          <w:b/>
          <w:bCs/>
          <w:spacing w:val="0"/>
          <w:sz w:val="24"/>
          <w:szCs w:val="24"/>
          <w:rtl/>
          <w:lang w:eastAsia="en-US"/>
        </w:rPr>
        <w:t>מכאן חשיבותה של השאלה "המקדמית" – התגרות מהי? לעניין זה אין כל רלבנטיות למחלוקת בעניין ההיבט הסובייקטיבי או ההיבט האובייקטיבי של "היעדר ההתגרות". מחלוקת זו מניחה קיומה של התגרות. אין היא קובעת התגרות מהי. אכן, גם הסבורים כי יסוד ההתגרות נבחן מנקודת המבט הסובייקטיבית של הממית, אינם סבורים כי כל מה שנתפס על ידי הממית כהתגרות מהווה התגרות לעניין הגדרתה של כוונה תחילה.</w:t>
      </w:r>
      <w:r>
        <w:rPr>
          <w:rFonts w:ascii="David" w:eastAsiaTheme="minorHAnsi" w:hAnsi="David" w:cs="David" w:hint="cs"/>
          <w:b/>
          <w:bCs/>
          <w:spacing w:val="0"/>
          <w:sz w:val="24"/>
          <w:szCs w:val="24"/>
          <w:rtl/>
          <w:lang w:eastAsia="en-US"/>
        </w:rPr>
        <w:t xml:space="preserve"> </w:t>
      </w:r>
      <w:r w:rsidRPr="005A02C3">
        <w:rPr>
          <w:rFonts w:ascii="David" w:eastAsiaTheme="minorHAnsi" w:hAnsi="David" w:cs="David" w:hint="cs"/>
          <w:b/>
          <w:bCs/>
          <w:spacing w:val="0"/>
          <w:sz w:val="24"/>
          <w:szCs w:val="24"/>
          <w:rtl/>
          <w:lang w:eastAsia="en-US"/>
        </w:rPr>
        <w:t xml:space="preserve">"סף הכניסה" אל תחום ה"התגרות" חייב להיות אובייקטיבי. תפיסותיו הסובייקטיביות של הממית אינן מעלות ואינן מורידות. אדם אינו הופך עניין להתגרות רק משום שהוא </w:t>
      </w:r>
      <w:r w:rsidRPr="005A02C3">
        <w:rPr>
          <w:rFonts w:ascii="David" w:eastAsiaTheme="minorHAnsi" w:hAnsi="David" w:cs="David" w:hint="eastAsia"/>
          <w:b/>
          <w:bCs/>
          <w:spacing w:val="0"/>
          <w:sz w:val="24"/>
          <w:szCs w:val="24"/>
          <w:rtl/>
          <w:lang w:eastAsia="en-US"/>
        </w:rPr>
        <w:t>רואה</w:t>
      </w:r>
      <w:r w:rsidRPr="005A02C3">
        <w:rPr>
          <w:rFonts w:ascii="David" w:eastAsiaTheme="minorHAnsi" w:hAnsi="David" w:cs="David"/>
          <w:b/>
          <w:bCs/>
          <w:spacing w:val="0"/>
          <w:sz w:val="24"/>
          <w:szCs w:val="24"/>
          <w:rtl/>
          <w:lang w:eastAsia="en-US"/>
        </w:rPr>
        <w:t xml:space="preserve"> </w:t>
      </w:r>
      <w:r w:rsidRPr="005A02C3">
        <w:rPr>
          <w:rFonts w:ascii="David" w:eastAsiaTheme="minorHAnsi" w:hAnsi="David" w:cs="David" w:hint="eastAsia"/>
          <w:b/>
          <w:bCs/>
          <w:spacing w:val="0"/>
          <w:sz w:val="24"/>
          <w:szCs w:val="24"/>
          <w:rtl/>
          <w:lang w:eastAsia="en-US"/>
        </w:rPr>
        <w:t>בכך</w:t>
      </w:r>
      <w:r w:rsidRPr="005A02C3">
        <w:rPr>
          <w:rFonts w:ascii="David" w:eastAsiaTheme="minorHAnsi" w:hAnsi="David" w:cs="David"/>
          <w:b/>
          <w:bCs/>
          <w:spacing w:val="0"/>
          <w:sz w:val="24"/>
          <w:szCs w:val="24"/>
          <w:rtl/>
          <w:lang w:eastAsia="en-US"/>
        </w:rPr>
        <w:t xml:space="preserve"> </w:t>
      </w:r>
      <w:r w:rsidRPr="005A02C3">
        <w:rPr>
          <w:rFonts w:ascii="David" w:eastAsiaTheme="minorHAnsi" w:hAnsi="David" w:cs="David" w:hint="eastAsia"/>
          <w:b/>
          <w:bCs/>
          <w:spacing w:val="0"/>
          <w:sz w:val="24"/>
          <w:szCs w:val="24"/>
          <w:rtl/>
          <w:lang w:eastAsia="en-US"/>
        </w:rPr>
        <w:t>התגרות</w:t>
      </w:r>
      <w:r w:rsidRPr="00B255A5">
        <w:rPr>
          <w:rFonts w:ascii="David" w:eastAsiaTheme="minorHAnsi" w:hAnsi="David" w:cs="David"/>
          <w:b/>
          <w:bCs/>
          <w:spacing w:val="0"/>
          <w:sz w:val="24"/>
          <w:szCs w:val="24"/>
          <w:rtl/>
          <w:lang w:eastAsia="en-US"/>
        </w:rPr>
        <w:t xml:space="preserve">......עמד </w:t>
      </w:r>
      <w:r w:rsidRPr="00B255A5">
        <w:rPr>
          <w:rFonts w:ascii="David" w:eastAsiaTheme="minorHAnsi" w:hAnsi="David" w:cs="David" w:hint="eastAsia"/>
          <w:b/>
          <w:bCs/>
          <w:spacing w:val="0"/>
          <w:sz w:val="24"/>
          <w:szCs w:val="24"/>
          <w:rtl/>
          <w:lang w:eastAsia="en-US"/>
        </w:rPr>
        <w:t>על</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כך</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פרופ</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פלר</w:t>
      </w:r>
      <w:r w:rsidRPr="00B255A5">
        <w:rPr>
          <w:rFonts w:ascii="David" w:eastAsiaTheme="minorHAnsi" w:hAnsi="David" w:cs="David"/>
          <w:b/>
          <w:bCs/>
          <w:spacing w:val="0"/>
          <w:sz w:val="24"/>
          <w:szCs w:val="24"/>
          <w:rtl/>
          <w:lang w:eastAsia="en-US"/>
        </w:rPr>
        <w:t xml:space="preserve">.... : </w:t>
      </w:r>
    </w:p>
    <w:p w:rsidR="00B255A5" w:rsidRPr="00B255A5" w:rsidRDefault="00B255A5" w:rsidP="00B255A5">
      <w:pPr>
        <w:pStyle w:val="ruller41"/>
        <w:rPr>
          <w:rFonts w:ascii="David" w:eastAsiaTheme="minorHAnsi" w:hAnsi="David" w:cs="David"/>
          <w:b/>
          <w:bCs/>
          <w:spacing w:val="0"/>
          <w:sz w:val="24"/>
          <w:szCs w:val="24"/>
          <w:rtl/>
          <w:lang w:eastAsia="en-US"/>
        </w:rPr>
      </w:pPr>
      <w:r w:rsidRPr="00B255A5">
        <w:rPr>
          <w:rFonts w:ascii="David" w:eastAsiaTheme="minorHAnsi" w:hAnsi="David" w:cs="David" w:hint="eastAsia"/>
          <w:b/>
          <w:bCs/>
          <w:spacing w:val="0"/>
          <w:sz w:val="24"/>
          <w:szCs w:val="24"/>
          <w:rtl/>
          <w:lang w:eastAsia="en-US"/>
        </w:rPr>
        <w:t> </w:t>
      </w:r>
    </w:p>
    <w:p w:rsidR="00B255A5" w:rsidRPr="00B255A5" w:rsidRDefault="00B255A5" w:rsidP="00B255A5">
      <w:pPr>
        <w:pStyle w:val="ruller50"/>
        <w:rPr>
          <w:rFonts w:ascii="David" w:eastAsiaTheme="minorHAnsi" w:hAnsi="David" w:cs="David"/>
          <w:b/>
          <w:bCs/>
          <w:spacing w:val="0"/>
          <w:sz w:val="24"/>
          <w:szCs w:val="24"/>
          <w:rtl/>
          <w:lang w:eastAsia="en-US"/>
        </w:rPr>
      </w:pPr>
      <w:r w:rsidRPr="00B255A5">
        <w:rPr>
          <w:rFonts w:ascii="David" w:eastAsiaTheme="minorHAnsi" w:hAnsi="David" w:cs="David"/>
          <w:b/>
          <w:bCs/>
          <w:spacing w:val="0"/>
          <w:sz w:val="24"/>
          <w:szCs w:val="24"/>
          <w:rtl/>
          <w:lang w:eastAsia="en-US"/>
        </w:rPr>
        <w:t xml:space="preserve">"אשר </w:t>
      </w:r>
      <w:r w:rsidRPr="00B255A5">
        <w:rPr>
          <w:rFonts w:ascii="David" w:eastAsiaTheme="minorHAnsi" w:hAnsi="David" w:cs="David" w:hint="eastAsia"/>
          <w:b/>
          <w:bCs/>
          <w:spacing w:val="0"/>
          <w:sz w:val="24"/>
          <w:szCs w:val="24"/>
          <w:rtl/>
          <w:lang w:eastAsia="en-US"/>
        </w:rPr>
        <w:t>למהות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מעשה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ההקנטה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צריך</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הוא</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מטבעו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להתבטא</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מבחינה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אובייקטיבית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כהתנהגות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בלתי</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צודקת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פוגעת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מבחינה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פיזית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מורלית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ואולי</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אף</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בהתנהגות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בניגוד</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לדין</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כלומר</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מעשה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בלתי</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מקובל</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שאין</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אדם</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עושה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כלפי</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רעהו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כשם</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שאין</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הוא</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מוכן</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לקבלו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מרעהו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המושג</w:t>
      </w:r>
      <w:r w:rsidRPr="00B255A5">
        <w:rPr>
          <w:rFonts w:ascii="David" w:eastAsiaTheme="minorHAnsi" w:hAnsi="David" w:cs="David"/>
          <w:b/>
          <w:bCs/>
          <w:spacing w:val="0"/>
          <w:sz w:val="24"/>
          <w:szCs w:val="24"/>
          <w:rtl/>
          <w:lang w:eastAsia="en-US"/>
        </w:rPr>
        <w:t xml:space="preserve"> 'התגרות' </w:t>
      </w:r>
      <w:r w:rsidRPr="00B255A5">
        <w:rPr>
          <w:rFonts w:ascii="David" w:eastAsiaTheme="minorHAnsi" w:hAnsi="David" w:cs="David" w:hint="eastAsia"/>
          <w:b/>
          <w:bCs/>
          <w:spacing w:val="0"/>
          <w:sz w:val="24"/>
          <w:szCs w:val="24"/>
          <w:rtl/>
          <w:lang w:eastAsia="en-US"/>
        </w:rPr>
        <w:t>בו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נוקטת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הוראת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סעיף</w:t>
      </w:r>
      <w:r w:rsidRPr="00B255A5">
        <w:rPr>
          <w:rFonts w:ascii="David" w:eastAsiaTheme="minorHAnsi" w:hAnsi="David" w:cs="David"/>
          <w:b/>
          <w:bCs/>
          <w:spacing w:val="0"/>
          <w:sz w:val="24"/>
          <w:szCs w:val="24"/>
          <w:rtl/>
          <w:lang w:eastAsia="en-US"/>
        </w:rPr>
        <w:t xml:space="preserve"> 301(א) </w:t>
      </w:r>
      <w:r w:rsidRPr="00B255A5">
        <w:rPr>
          <w:rFonts w:ascii="David" w:eastAsiaTheme="minorHAnsi" w:hAnsi="David" w:cs="David" w:hint="eastAsia"/>
          <w:b/>
          <w:bCs/>
          <w:spacing w:val="0"/>
          <w:sz w:val="24"/>
          <w:szCs w:val="24"/>
          <w:rtl/>
          <w:lang w:eastAsia="en-US"/>
        </w:rPr>
        <w:t>ל</w:t>
      </w:r>
      <w:hyperlink r:id="rId7" w:history="1">
        <w:r w:rsidRPr="00B255A5">
          <w:rPr>
            <w:rFonts w:ascii="David" w:eastAsiaTheme="minorHAnsi" w:hAnsi="David" w:cs="David"/>
            <w:b/>
            <w:bCs/>
            <w:spacing w:val="0"/>
            <w:sz w:val="24"/>
            <w:szCs w:val="24"/>
            <w:rtl/>
            <w:lang w:eastAsia="en-US"/>
          </w:rPr>
          <w:t>חוק העונשין</w:t>
        </w:r>
      </w:hyperlink>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מקפל</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בתוכו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חוסר</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הלגיטימיות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של</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ההתנהגות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המקנטרת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כמאפיין</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חיוני</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שלה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מכוח</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החוק</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לעומת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זאת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התנהגות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לגיטימית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ולא</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כל</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שכן</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התנהגות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מכוח</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הדין</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בהסכמתו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כלומר</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התנהגות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שניתן</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להצדיקה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מבחינת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סדרי</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החיים</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התקינים</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בחברה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אינה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יכולה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להיחשב</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כהתגרות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אפילו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כשהיא</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למורת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רוחו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של</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אדם</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היא</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יכולה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לגרום</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להתרגשות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אפילו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לכעס</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ולרוגז</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אף</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לרת</w:t>
      </w:r>
      <w:r w:rsidRPr="005A02C3">
        <w:rPr>
          <w:rFonts w:ascii="David" w:eastAsiaTheme="minorHAnsi" w:hAnsi="David" w:cs="David" w:hint="cs"/>
          <w:b/>
          <w:bCs/>
          <w:spacing w:val="0"/>
          <w:sz w:val="24"/>
          <w:szCs w:val="24"/>
          <w:rtl/>
          <w:lang w:eastAsia="en-US"/>
        </w:rPr>
        <w:t>י</w:t>
      </w:r>
      <w:r w:rsidRPr="00B255A5">
        <w:rPr>
          <w:rFonts w:ascii="David" w:eastAsiaTheme="minorHAnsi" w:hAnsi="David" w:cs="David" w:hint="eastAsia"/>
          <w:b/>
          <w:bCs/>
          <w:spacing w:val="0"/>
          <w:sz w:val="24"/>
          <w:szCs w:val="24"/>
          <w:rtl/>
          <w:lang w:eastAsia="en-US"/>
        </w:rPr>
        <w:t>חה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או</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לפגיעה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אבל</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אין</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היא</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יכולה</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להיחשב</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כהתגרות</w:t>
      </w:r>
      <w:r w:rsidRPr="00B255A5">
        <w:rPr>
          <w:rFonts w:ascii="David" w:eastAsiaTheme="minorHAnsi" w:hAnsi="David" w:cs="David"/>
          <w:b/>
          <w:bCs/>
          <w:spacing w:val="0"/>
          <w:sz w:val="24"/>
          <w:szCs w:val="24"/>
          <w:rtl/>
          <w:lang w:eastAsia="en-US"/>
        </w:rPr>
        <w:t>" (</w:t>
      </w:r>
      <w:r w:rsidRPr="00B255A5">
        <w:rPr>
          <w:rFonts w:ascii="David" w:eastAsiaTheme="minorHAnsi" w:hAnsi="David" w:cs="David" w:hint="eastAsia"/>
          <w:b/>
          <w:bCs/>
          <w:spacing w:val="0"/>
          <w:sz w:val="24"/>
          <w:szCs w:val="24"/>
          <w:rtl/>
          <w:lang w:eastAsia="en-US"/>
        </w:rPr>
        <w:t>פלר</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יסודות</w:t>
      </w:r>
      <w:r w:rsidRPr="00B255A5">
        <w:rPr>
          <w:rFonts w:ascii="David" w:eastAsiaTheme="minorHAnsi" w:hAnsi="David" w:cs="David"/>
          <w:b/>
          <w:bCs/>
          <w:spacing w:val="0"/>
          <w:sz w:val="24"/>
          <w:szCs w:val="24"/>
          <w:rtl/>
          <w:lang w:eastAsia="en-US"/>
        </w:rPr>
        <w:t xml:space="preserve">, </w:t>
      </w:r>
      <w:r w:rsidRPr="00B255A5">
        <w:rPr>
          <w:rFonts w:ascii="David" w:eastAsiaTheme="minorHAnsi" w:hAnsi="David" w:cs="David" w:hint="eastAsia"/>
          <w:b/>
          <w:bCs/>
          <w:spacing w:val="0"/>
          <w:sz w:val="24"/>
          <w:szCs w:val="24"/>
          <w:rtl/>
          <w:lang w:eastAsia="en-US"/>
        </w:rPr>
        <w:t>עמ</w:t>
      </w:r>
      <w:r w:rsidRPr="00B255A5">
        <w:rPr>
          <w:rFonts w:ascii="David" w:eastAsiaTheme="minorHAnsi" w:hAnsi="David" w:cs="David"/>
          <w:b/>
          <w:bCs/>
          <w:spacing w:val="0"/>
          <w:sz w:val="24"/>
          <w:szCs w:val="24"/>
          <w:rtl/>
          <w:lang w:eastAsia="en-US"/>
        </w:rPr>
        <w:t>' 560).</w:t>
      </w:r>
    </w:p>
    <w:p w:rsidR="00B255A5" w:rsidRPr="00B255A5" w:rsidRDefault="00B255A5" w:rsidP="00B255A5">
      <w:pPr>
        <w:pStyle w:val="ruller50"/>
        <w:rPr>
          <w:rFonts w:ascii="David" w:eastAsiaTheme="minorHAnsi" w:hAnsi="David" w:cs="David"/>
          <w:b/>
          <w:bCs/>
          <w:spacing w:val="0"/>
          <w:sz w:val="24"/>
          <w:szCs w:val="24"/>
          <w:rtl/>
          <w:lang w:eastAsia="en-US"/>
        </w:rPr>
      </w:pPr>
      <w:r w:rsidRPr="00B255A5">
        <w:rPr>
          <w:rFonts w:ascii="David" w:eastAsiaTheme="minorHAnsi" w:hAnsi="David" w:cs="David" w:hint="eastAsia"/>
          <w:b/>
          <w:bCs/>
          <w:spacing w:val="0"/>
          <w:sz w:val="24"/>
          <w:szCs w:val="24"/>
          <w:rtl/>
          <w:lang w:eastAsia="en-US"/>
        </w:rPr>
        <w:t> </w:t>
      </w:r>
    </w:p>
    <w:p w:rsidR="00B255A5" w:rsidRPr="00EE64E3" w:rsidRDefault="00B255A5" w:rsidP="00B255A5">
      <w:pPr>
        <w:pStyle w:val="ruller41"/>
        <w:ind w:left="567" w:right="567"/>
        <w:rPr>
          <w:rFonts w:ascii="David" w:eastAsiaTheme="minorHAnsi" w:hAnsi="David" w:cs="David"/>
          <w:b/>
          <w:bCs/>
          <w:spacing w:val="0"/>
          <w:sz w:val="24"/>
          <w:szCs w:val="24"/>
          <w:rtl/>
          <w:lang w:eastAsia="en-US"/>
        </w:rPr>
      </w:pPr>
      <w:r w:rsidRPr="00EE64E3">
        <w:rPr>
          <w:rFonts w:ascii="David" w:eastAsiaTheme="minorHAnsi" w:hAnsi="David" w:cs="David" w:hint="cs"/>
          <w:b/>
          <w:bCs/>
          <w:spacing w:val="0"/>
          <w:sz w:val="24"/>
          <w:szCs w:val="24"/>
          <w:rtl/>
          <w:lang w:eastAsia="en-US"/>
        </w:rPr>
        <w:t>וברוח דומה ציין פרופ' קרמניצר, אף הוא מהדוגלים במבחן הסובייקטיבי בלבד:</w:t>
      </w:r>
    </w:p>
    <w:p w:rsidR="00B255A5" w:rsidRPr="00EE64E3" w:rsidRDefault="00B255A5" w:rsidP="00B255A5">
      <w:pPr>
        <w:pStyle w:val="ruller41"/>
        <w:rPr>
          <w:rFonts w:ascii="David" w:eastAsiaTheme="minorHAnsi" w:hAnsi="David" w:cs="David"/>
          <w:b/>
          <w:bCs/>
          <w:spacing w:val="0"/>
          <w:sz w:val="24"/>
          <w:szCs w:val="24"/>
          <w:rtl/>
          <w:lang w:eastAsia="en-US"/>
        </w:rPr>
      </w:pPr>
      <w:r w:rsidRPr="00EE64E3">
        <w:rPr>
          <w:rFonts w:ascii="David" w:eastAsiaTheme="minorHAnsi" w:hAnsi="David" w:cs="David" w:hint="cs"/>
          <w:b/>
          <w:bCs/>
          <w:spacing w:val="0"/>
          <w:sz w:val="24"/>
          <w:szCs w:val="24"/>
          <w:rtl/>
          <w:lang w:eastAsia="en-US"/>
        </w:rPr>
        <w:t> </w:t>
      </w:r>
    </w:p>
    <w:p w:rsidR="00B255A5" w:rsidRPr="00EE64E3" w:rsidRDefault="00B255A5" w:rsidP="00B255A5">
      <w:pPr>
        <w:pStyle w:val="ruller50"/>
        <w:rPr>
          <w:rFonts w:ascii="David" w:eastAsiaTheme="minorHAnsi" w:hAnsi="David" w:cs="David"/>
          <w:b/>
          <w:bCs/>
          <w:spacing w:val="0"/>
          <w:sz w:val="24"/>
          <w:szCs w:val="24"/>
          <w:rtl/>
          <w:lang w:eastAsia="en-US"/>
        </w:rPr>
      </w:pPr>
      <w:r w:rsidRPr="00EE64E3">
        <w:rPr>
          <w:rFonts w:ascii="David" w:eastAsiaTheme="minorHAnsi" w:hAnsi="David" w:cs="David" w:hint="cs"/>
          <w:b/>
          <w:bCs/>
          <w:spacing w:val="0"/>
          <w:sz w:val="24"/>
          <w:szCs w:val="24"/>
          <w:rtl/>
          <w:lang w:eastAsia="en-US"/>
        </w:rPr>
        <w:t xml:space="preserve">"התגרות היא אירוע אובייקטיבי-חיצוני לעושה, וניתן לאפיין אותה באורח אובייקטיבי כהתנהגות בלתי צודקת, מפתיעה, פוגעת, מעליבה או מרגיזה" (קרמניצר, עמ' 29). </w:t>
      </w:r>
    </w:p>
    <w:p w:rsidR="00B255A5" w:rsidRPr="00EE64E3" w:rsidRDefault="00B255A5" w:rsidP="00B255A5">
      <w:pPr>
        <w:pStyle w:val="ruller50"/>
        <w:rPr>
          <w:rFonts w:ascii="David" w:eastAsiaTheme="minorHAnsi" w:hAnsi="David" w:cs="David"/>
          <w:b/>
          <w:bCs/>
          <w:spacing w:val="0"/>
          <w:sz w:val="24"/>
          <w:szCs w:val="24"/>
          <w:rtl/>
          <w:lang w:eastAsia="en-US"/>
        </w:rPr>
      </w:pPr>
      <w:r w:rsidRPr="00EE64E3">
        <w:rPr>
          <w:rFonts w:ascii="David" w:eastAsiaTheme="minorHAnsi" w:hAnsi="David" w:cs="David" w:hint="cs"/>
          <w:b/>
          <w:bCs/>
          <w:spacing w:val="0"/>
          <w:sz w:val="24"/>
          <w:szCs w:val="24"/>
          <w:rtl/>
          <w:lang w:eastAsia="en-US"/>
        </w:rPr>
        <w:t> </w:t>
      </w:r>
    </w:p>
    <w:p w:rsidR="00B255A5" w:rsidRPr="00EE64E3" w:rsidRDefault="00B255A5" w:rsidP="00B255A5">
      <w:pPr>
        <w:pStyle w:val="ruller50"/>
        <w:rPr>
          <w:rFonts w:ascii="David" w:eastAsiaTheme="minorHAnsi" w:hAnsi="David" w:cs="David"/>
          <w:b/>
          <w:bCs/>
          <w:spacing w:val="0"/>
          <w:sz w:val="24"/>
          <w:szCs w:val="24"/>
          <w:rtl/>
          <w:lang w:eastAsia="en-US"/>
        </w:rPr>
      </w:pPr>
      <w:r w:rsidRPr="00EE64E3">
        <w:rPr>
          <w:rFonts w:ascii="David" w:eastAsiaTheme="minorHAnsi" w:hAnsi="David" w:cs="David" w:hint="cs"/>
          <w:b/>
          <w:bCs/>
          <w:spacing w:val="0"/>
          <w:sz w:val="24"/>
          <w:szCs w:val="24"/>
          <w:rtl/>
          <w:lang w:eastAsia="en-US"/>
        </w:rPr>
        <w:t> </w:t>
      </w:r>
    </w:p>
    <w:p w:rsidR="00B255A5" w:rsidRDefault="00B255A5" w:rsidP="00B255A5">
      <w:pPr>
        <w:pStyle w:val="ruller41"/>
        <w:ind w:left="567" w:right="567"/>
        <w:rPr>
          <w:rtl/>
        </w:rPr>
      </w:pPr>
      <w:r w:rsidRPr="00EE64E3">
        <w:rPr>
          <w:rFonts w:ascii="David" w:eastAsiaTheme="minorHAnsi" w:hAnsi="David" w:cs="David" w:hint="cs"/>
          <w:b/>
          <w:bCs/>
          <w:spacing w:val="0"/>
          <w:sz w:val="24"/>
          <w:szCs w:val="24"/>
          <w:rtl/>
          <w:lang w:eastAsia="en-US"/>
        </w:rPr>
        <w:t>נמצא, איפוא, כי יסוד ה"התגרות" (או "היעדר התגרות") מכניס להגדרה של "כוונה תחילה" יסוד אובייקטיבי. לא מחשבתו של הממית היא הקובעת אם התקיימה התגרות, אלא תפיסתה של שיטת המשפט את המושג "התגרות" היא הקובעת.</w:t>
      </w:r>
      <w:r>
        <w:rPr>
          <w:rFonts w:ascii="David" w:eastAsiaTheme="minorHAnsi" w:hAnsi="David" w:cs="David" w:hint="cs"/>
          <w:b/>
          <w:bCs/>
          <w:spacing w:val="0"/>
          <w:sz w:val="24"/>
          <w:szCs w:val="24"/>
          <w:rtl/>
          <w:lang w:eastAsia="en-US"/>
        </w:rPr>
        <w:t>..</w:t>
      </w:r>
    </w:p>
    <w:p w:rsidR="00B255A5" w:rsidRPr="00AD45D2" w:rsidRDefault="00B255A5" w:rsidP="00AD45D2">
      <w:pPr>
        <w:spacing w:before="120" w:after="0" w:line="360" w:lineRule="auto"/>
        <w:ind w:left="567" w:right="567"/>
        <w:jc w:val="both"/>
        <w:rPr>
          <w:rFonts w:ascii="David" w:hAnsi="David" w:cs="David"/>
          <w:b/>
          <w:bCs/>
          <w:sz w:val="24"/>
          <w:szCs w:val="24"/>
          <w:rtl/>
        </w:rPr>
      </w:pPr>
      <w:r w:rsidRPr="00AD45D2">
        <w:rPr>
          <w:rFonts w:ascii="David" w:hAnsi="David" w:cs="David" w:hint="cs"/>
          <w:b/>
          <w:bCs/>
          <w:sz w:val="24"/>
          <w:szCs w:val="24"/>
          <w:rtl/>
        </w:rPr>
        <w:lastRenderedPageBreak/>
        <w:t>.....הגדרות אלה קובעות "סף כניסה" נמוך ביחס להגדרת ה"התגרות". האם אין מקום להעלות "סף כניסה" זה? האם אין מקום לומר, כי לצרכי הגדרת הדיבור "התגרות" (או "היעדר התגרות") ביסוד ה"כוונה תחילה" שבעבירת הרצח נדרשת התנהגות הנגזרת מהמבחן האובייקטיבי שפותח על ידי בית משפט זה? על פי גישה זו התנהגות תיחשב כ"התגרות" (או "היעדר התגרות") לעניין עבירת הרצח אם האדם הסביר, הרגיל או הממוצע, יראה אותה כהתגרות השוללת או מקיימת את דרישת ה"תחילה" שבכוונה. על פי גישה זו, איפיונה של ההתנהגות כ"התגרות" (או "היעדר התגרות") לא ייגזר ממובנו המילוני של הדיבור "התגרות".........</w:t>
      </w:r>
    </w:p>
    <w:p w:rsidR="00B255A5" w:rsidRPr="005A02C3" w:rsidRDefault="00B255A5" w:rsidP="00B255A5">
      <w:pPr>
        <w:spacing w:before="120" w:after="0" w:line="360" w:lineRule="auto"/>
        <w:ind w:left="567" w:right="567"/>
        <w:jc w:val="both"/>
        <w:rPr>
          <w:rFonts w:ascii="David" w:hAnsi="David" w:cs="David"/>
          <w:b/>
          <w:bCs/>
          <w:sz w:val="24"/>
          <w:szCs w:val="24"/>
          <w:rtl/>
        </w:rPr>
      </w:pPr>
      <w:r w:rsidRPr="00AD45D2">
        <w:rPr>
          <w:rFonts w:ascii="David" w:hAnsi="David" w:cs="David" w:hint="cs"/>
          <w:b/>
          <w:bCs/>
          <w:sz w:val="24"/>
          <w:szCs w:val="24"/>
          <w:rtl/>
        </w:rPr>
        <w:t>לדיבור "התגרות" יש ליתן איפוא אותו מובן המגשים את התכלית המונחת ביסודו. תכלית זו היא בעלת אופי ערכי. היא מכוונת להפחתת האחריות מרצח להריגה. תוכנה של זו מצאה את ביטוייה במבחן האובייקטיבי.</w:t>
      </w:r>
      <w:r w:rsidR="00AD45D2" w:rsidRPr="00AD45D2">
        <w:rPr>
          <w:rFonts w:ascii="David" w:hAnsi="David" w:cs="David" w:hint="cs"/>
          <w:b/>
          <w:bCs/>
          <w:sz w:val="24"/>
          <w:szCs w:val="24"/>
          <w:rtl/>
        </w:rPr>
        <w:t>"</w:t>
      </w:r>
    </w:p>
    <w:p w:rsidR="00B255A5" w:rsidRDefault="00B255A5" w:rsidP="00B255A5">
      <w:pPr>
        <w:spacing w:before="120" w:after="0" w:line="360" w:lineRule="auto"/>
        <w:jc w:val="both"/>
        <w:rPr>
          <w:rFonts w:ascii="David" w:hAnsi="David" w:cs="David"/>
          <w:sz w:val="24"/>
          <w:szCs w:val="24"/>
          <w:rtl/>
        </w:rPr>
      </w:pPr>
    </w:p>
    <w:p w:rsidR="00B255A5" w:rsidRDefault="00B255A5" w:rsidP="00B255A5">
      <w:pPr>
        <w:spacing w:before="120" w:after="120" w:line="360" w:lineRule="auto"/>
        <w:jc w:val="both"/>
        <w:rPr>
          <w:rFonts w:ascii="David" w:hAnsi="David" w:cs="David"/>
          <w:sz w:val="24"/>
          <w:szCs w:val="24"/>
          <w:rtl/>
        </w:rPr>
      </w:pPr>
      <w:r w:rsidRPr="00B21A37">
        <w:rPr>
          <w:rFonts w:ascii="David" w:hAnsi="David" w:cs="David" w:hint="cs"/>
          <w:sz w:val="24"/>
          <w:szCs w:val="24"/>
          <w:rtl/>
        </w:rPr>
        <w:t xml:space="preserve">ואולם, כאמור לעיל, התעוררו שאלות רבות בפסיקה מה ייחשב כהתגרות וניתנו על כך פסקי דין שונים. </w:t>
      </w:r>
    </w:p>
    <w:p w:rsidR="00B255A5" w:rsidRDefault="00B255A5" w:rsidP="00B255A5">
      <w:pPr>
        <w:spacing w:before="120" w:after="120" w:line="360" w:lineRule="auto"/>
        <w:jc w:val="both"/>
        <w:rPr>
          <w:rFonts w:ascii="David" w:hAnsi="David" w:cs="David"/>
          <w:sz w:val="24"/>
          <w:szCs w:val="24"/>
          <w:rtl/>
        </w:rPr>
      </w:pPr>
      <w:r w:rsidRPr="00B21A37">
        <w:rPr>
          <w:rFonts w:ascii="David" w:hAnsi="David" w:cs="David" w:hint="cs"/>
          <w:sz w:val="24"/>
          <w:szCs w:val="24"/>
          <w:rtl/>
        </w:rPr>
        <w:t>כך למשל בעניין אזואלוס קבע בית המשפט כי אדם שרצח את אשתו והשכן, איתו בגדה בבעלה,</w:t>
      </w:r>
      <w:r>
        <w:rPr>
          <w:rFonts w:ascii="David" w:hAnsi="David" w:cs="David" w:hint="cs"/>
          <w:sz w:val="24"/>
          <w:szCs w:val="24"/>
          <w:rtl/>
        </w:rPr>
        <w:t xml:space="preserve"> ואשר הם פעלו באופן מתריס מולו, ייחשב כמי שקונטר</w:t>
      </w:r>
      <w:r>
        <w:rPr>
          <w:rStyle w:val="a7"/>
          <w:rFonts w:ascii="David" w:hAnsi="David" w:cs="David"/>
          <w:sz w:val="24"/>
          <w:szCs w:val="24"/>
          <w:rtl/>
        </w:rPr>
        <w:footnoteReference w:id="9"/>
      </w:r>
      <w:r>
        <w:rPr>
          <w:rFonts w:ascii="David" w:hAnsi="David" w:cs="David" w:hint="cs"/>
          <w:sz w:val="24"/>
          <w:szCs w:val="24"/>
          <w:rtl/>
        </w:rPr>
        <w:t xml:space="preserve">.  </w:t>
      </w:r>
    </w:p>
    <w:p w:rsidR="00B255A5" w:rsidRDefault="00B255A5" w:rsidP="00B255A5">
      <w:pPr>
        <w:pStyle w:val="Ruller4"/>
        <w:spacing w:before="120" w:after="120"/>
        <w:rPr>
          <w:rFonts w:ascii="Times New Roman" w:hAnsi="Times New Roman"/>
          <w:rtl/>
        </w:rPr>
      </w:pPr>
      <w:r w:rsidRPr="003F3C90">
        <w:rPr>
          <w:rFonts w:ascii="David" w:hAnsi="David" w:cs="David" w:hint="cs"/>
          <w:spacing w:val="0"/>
          <w:sz w:val="24"/>
          <w:szCs w:val="24"/>
          <w:rtl/>
        </w:rPr>
        <w:t xml:space="preserve">ואולם, </w:t>
      </w:r>
      <w:r>
        <w:rPr>
          <w:rFonts w:ascii="David" w:hAnsi="David" w:cs="David" w:hint="cs"/>
          <w:spacing w:val="0"/>
          <w:sz w:val="24"/>
          <w:szCs w:val="24"/>
          <w:rtl/>
        </w:rPr>
        <w:t xml:space="preserve">במספר </w:t>
      </w:r>
      <w:r w:rsidRPr="003F3C90">
        <w:rPr>
          <w:rFonts w:ascii="David" w:hAnsi="David" w:cs="David" w:hint="cs"/>
          <w:spacing w:val="0"/>
          <w:sz w:val="24"/>
          <w:szCs w:val="24"/>
          <w:rtl/>
        </w:rPr>
        <w:t xml:space="preserve">פסקי דין מאוחרים יותר </w:t>
      </w:r>
      <w:r>
        <w:rPr>
          <w:rFonts w:ascii="David" w:hAnsi="David" w:cs="David" w:hint="cs"/>
          <w:spacing w:val="0"/>
          <w:sz w:val="24"/>
          <w:szCs w:val="24"/>
          <w:rtl/>
        </w:rPr>
        <w:t>הובעה</w:t>
      </w:r>
      <w:r w:rsidRPr="003F3C90">
        <w:rPr>
          <w:rFonts w:ascii="David" w:hAnsi="David" w:cs="David" w:hint="cs"/>
          <w:spacing w:val="0"/>
          <w:sz w:val="24"/>
          <w:szCs w:val="24"/>
          <w:rtl/>
        </w:rPr>
        <w:t xml:space="preserve"> הסתייגות מפסק דין זה</w:t>
      </w:r>
      <w:r>
        <w:rPr>
          <w:rStyle w:val="a7"/>
          <w:rFonts w:ascii="Times New Roman" w:hAnsi="Times New Roman"/>
          <w:rtl/>
        </w:rPr>
        <w:footnoteReference w:id="10"/>
      </w:r>
      <w:r>
        <w:rPr>
          <w:rFonts w:ascii="Times New Roman" w:hAnsi="Times New Roman" w:hint="cs"/>
          <w:rtl/>
        </w:rPr>
        <w:t>:</w:t>
      </w:r>
    </w:p>
    <w:p w:rsidR="00B255A5" w:rsidRDefault="00B255A5" w:rsidP="00B255A5">
      <w:pPr>
        <w:pStyle w:val="aa"/>
        <w:spacing w:before="240" w:after="120"/>
        <w:ind w:left="567" w:right="567" w:firstLine="0"/>
        <w:rPr>
          <w:rFonts w:ascii="David" w:eastAsiaTheme="minorHAnsi" w:hAnsi="David" w:cs="David"/>
          <w:b/>
          <w:bCs/>
          <w:sz w:val="24"/>
          <w:rtl/>
          <w:lang w:eastAsia="en-US"/>
        </w:rPr>
      </w:pPr>
      <w:r w:rsidRPr="003F3C90">
        <w:rPr>
          <w:rFonts w:ascii="David" w:eastAsiaTheme="minorHAnsi" w:hAnsi="David" w:cs="David" w:hint="cs"/>
          <w:b/>
          <w:bCs/>
          <w:sz w:val="24"/>
          <w:rtl/>
          <w:lang w:eastAsia="en-US"/>
        </w:rPr>
        <w:t xml:space="preserve">"....אציין כי בחלוף השנים מאז פרשת </w:t>
      </w:r>
      <w:r w:rsidRPr="003F3C90">
        <w:rPr>
          <w:rFonts w:ascii="David" w:eastAsiaTheme="minorHAnsi" w:hAnsi="David" w:cs="David"/>
          <w:b/>
          <w:bCs/>
          <w:sz w:val="24"/>
          <w:rtl/>
          <w:lang w:eastAsia="en-US"/>
        </w:rPr>
        <w:t xml:space="preserve">אזואלוס </w:t>
      </w:r>
      <w:r w:rsidRPr="003F3C90">
        <w:rPr>
          <w:rFonts w:ascii="David" w:eastAsiaTheme="minorHAnsi" w:hAnsi="David" w:cs="David" w:hint="cs"/>
          <w:b/>
          <w:bCs/>
          <w:sz w:val="24"/>
          <w:rtl/>
          <w:lang w:eastAsia="en-US"/>
        </w:rPr>
        <w:t>השתנו העיתים, וספק אם הלכה זו עדיין עומדת על תילה............ דווקא בשל המבחן האובייקטיבי-נורמטיבי, בתי המשפט נזהרים שלא לראות ברצח בעקבות בגידה של בן הזוג, כמעשה העומד במבחן הקנטור האובייקטיבי. מאחר שהיסוד האובייקטיבי נועד להגן על ערכים שהחברה חפצה ביקרם, לא תשמע במחוזותינו הטענה כי בגידה של בן זוג מגעת כדי קינטור."</w:t>
      </w:r>
    </w:p>
    <w:p w:rsidR="00B255A5" w:rsidRPr="00B374C5" w:rsidRDefault="00B255A5" w:rsidP="00B255A5">
      <w:pPr>
        <w:pStyle w:val="Ruller4"/>
        <w:spacing w:before="240" w:after="120"/>
        <w:rPr>
          <w:rFonts w:ascii="David" w:hAnsi="David" w:cs="David"/>
          <w:spacing w:val="0"/>
          <w:sz w:val="24"/>
          <w:szCs w:val="24"/>
          <w:rtl/>
        </w:rPr>
      </w:pPr>
      <w:r w:rsidRPr="00B374C5">
        <w:rPr>
          <w:rFonts w:ascii="David" w:hAnsi="David" w:cs="David" w:hint="cs"/>
          <w:spacing w:val="0"/>
          <w:sz w:val="24"/>
          <w:szCs w:val="24"/>
          <w:rtl/>
        </w:rPr>
        <w:t>(</w:t>
      </w:r>
      <w:r>
        <w:rPr>
          <w:rFonts w:ascii="David" w:hAnsi="David" w:cs="David" w:hint="cs"/>
          <w:spacing w:val="0"/>
          <w:sz w:val="24"/>
          <w:szCs w:val="24"/>
          <w:rtl/>
        </w:rPr>
        <w:t xml:space="preserve">ואולם, </w:t>
      </w:r>
      <w:r w:rsidRPr="00B374C5">
        <w:rPr>
          <w:rFonts w:ascii="David" w:hAnsi="David" w:cs="David" w:hint="cs"/>
          <w:spacing w:val="0"/>
          <w:sz w:val="24"/>
          <w:szCs w:val="24"/>
          <w:rtl/>
        </w:rPr>
        <w:t xml:space="preserve">יוער כי לא כל פסקי הדין הסתייגו מהפסיקה בעניין אזואלוס- ראו למשל עפ 1426/12 </w:t>
      </w:r>
      <w:r w:rsidRPr="00B374C5">
        <w:rPr>
          <w:rFonts w:ascii="David" w:hAnsi="David" w:cs="David" w:hint="cs"/>
          <w:b/>
          <w:bCs/>
          <w:spacing w:val="0"/>
          <w:sz w:val="24"/>
          <w:szCs w:val="24"/>
          <w:rtl/>
        </w:rPr>
        <w:t>אחמד מוזפר נ' מדינת ישראל</w:t>
      </w:r>
      <w:r w:rsidRPr="00B374C5">
        <w:rPr>
          <w:rFonts w:ascii="David" w:hAnsi="David" w:cs="David" w:hint="cs"/>
          <w:spacing w:val="0"/>
          <w:sz w:val="24"/>
          <w:szCs w:val="24"/>
          <w:rtl/>
        </w:rPr>
        <w:t xml:space="preserve"> מיום 16.1.14).</w:t>
      </w:r>
    </w:p>
    <w:p w:rsidR="00B255A5" w:rsidRDefault="00B255A5" w:rsidP="00B255A5">
      <w:pPr>
        <w:spacing w:before="120" w:after="120" w:line="360" w:lineRule="auto"/>
        <w:jc w:val="both"/>
        <w:rPr>
          <w:rFonts w:ascii="David" w:hAnsi="David" w:cs="David"/>
          <w:sz w:val="24"/>
          <w:szCs w:val="24"/>
          <w:rtl/>
        </w:rPr>
      </w:pPr>
    </w:p>
    <w:p w:rsidR="00B255A5" w:rsidRDefault="00B255A5" w:rsidP="00B255A5">
      <w:pPr>
        <w:spacing w:before="120" w:after="120" w:line="360" w:lineRule="auto"/>
        <w:jc w:val="both"/>
        <w:rPr>
          <w:rFonts w:ascii="David" w:hAnsi="David" w:cs="David"/>
          <w:sz w:val="24"/>
          <w:szCs w:val="24"/>
          <w:rtl/>
        </w:rPr>
      </w:pPr>
      <w:r>
        <w:rPr>
          <w:rFonts w:ascii="David" w:hAnsi="David" w:cs="David" w:hint="cs"/>
          <w:sz w:val="24"/>
          <w:szCs w:val="24"/>
          <w:rtl/>
        </w:rPr>
        <w:t>סוגיה נוספת שהתעוררה בפסיקה נגעה לשאלה האם אמירות בלבד, כגון קללות, עוברות את סף הכניסה של מושג ההתגרות. במספר פסקי דין נקבע כי מילים כשלעצמן אינן יכולות לגבש קנטור:</w:t>
      </w:r>
    </w:p>
    <w:p w:rsidR="00B255A5" w:rsidRPr="00601CD3" w:rsidRDefault="00B255A5" w:rsidP="00B255A5">
      <w:pPr>
        <w:pStyle w:val="ruller50"/>
        <w:spacing w:before="120" w:after="120"/>
        <w:rPr>
          <w:rFonts w:ascii="David" w:eastAsiaTheme="minorHAnsi" w:hAnsi="David" w:cs="David"/>
          <w:spacing w:val="0"/>
          <w:sz w:val="24"/>
          <w:szCs w:val="24"/>
          <w:rtl/>
          <w:lang w:eastAsia="en-US"/>
        </w:rPr>
      </w:pPr>
    </w:p>
    <w:p w:rsidR="00B255A5" w:rsidRPr="00B15BC3" w:rsidRDefault="00B255A5" w:rsidP="00B255A5">
      <w:pPr>
        <w:pStyle w:val="aa"/>
        <w:spacing w:before="120" w:after="120"/>
        <w:ind w:left="567" w:right="567" w:firstLine="0"/>
        <w:rPr>
          <w:rFonts w:ascii="David" w:eastAsiaTheme="minorHAnsi" w:hAnsi="David" w:cs="David"/>
          <w:b/>
          <w:bCs/>
          <w:sz w:val="24"/>
          <w:rtl/>
          <w:lang w:eastAsia="en-US"/>
        </w:rPr>
      </w:pPr>
      <w:r w:rsidRPr="00B15BC3">
        <w:rPr>
          <w:rFonts w:ascii="David" w:eastAsiaTheme="minorHAnsi" w:hAnsi="David" w:cs="David" w:hint="cs"/>
          <w:b/>
          <w:bCs/>
          <w:sz w:val="24"/>
          <w:rtl/>
          <w:lang w:eastAsia="en-US"/>
        </w:rPr>
        <w:t>"</w:t>
      </w:r>
      <w:r w:rsidRPr="00B15BC3">
        <w:rPr>
          <w:rFonts w:ascii="David" w:eastAsiaTheme="minorHAnsi" w:hAnsi="David" w:cs="David"/>
          <w:b/>
          <w:bCs/>
          <w:sz w:val="24"/>
          <w:rtl/>
          <w:lang w:eastAsia="en-US"/>
        </w:rPr>
        <w:t>לא נותר אלא לחזור ולשנן לכ</w:t>
      </w:r>
      <w:r w:rsidRPr="00B15BC3">
        <w:rPr>
          <w:rFonts w:ascii="David" w:eastAsiaTheme="minorHAnsi" w:hAnsi="David" w:cs="David" w:hint="eastAsia"/>
          <w:b/>
          <w:bCs/>
          <w:sz w:val="24"/>
          <w:rtl/>
          <w:lang w:eastAsia="en-US"/>
        </w:rPr>
        <w:t>ו</w:t>
      </w:r>
      <w:r w:rsidRPr="00B15BC3">
        <w:rPr>
          <w:rFonts w:ascii="David" w:eastAsiaTheme="minorHAnsi" w:hAnsi="David" w:cs="David"/>
          <w:b/>
          <w:bCs/>
          <w:sz w:val="24"/>
          <w:rtl/>
          <w:lang w:eastAsia="en-US"/>
        </w:rPr>
        <w:t>ל כי מ</w:t>
      </w:r>
      <w:r w:rsidRPr="00B15BC3">
        <w:rPr>
          <w:rFonts w:ascii="David" w:eastAsiaTheme="minorHAnsi" w:hAnsi="David" w:cs="David" w:hint="eastAsia"/>
          <w:b/>
          <w:bCs/>
          <w:sz w:val="24"/>
          <w:rtl/>
          <w:lang w:eastAsia="en-US"/>
        </w:rPr>
        <w:t>י</w:t>
      </w:r>
      <w:r w:rsidRPr="00B15BC3">
        <w:rPr>
          <w:rFonts w:ascii="David" w:eastAsiaTheme="minorHAnsi" w:hAnsi="David" w:cs="David"/>
          <w:b/>
          <w:bCs/>
          <w:sz w:val="24"/>
          <w:rtl/>
          <w:lang w:eastAsia="en-US"/>
        </w:rPr>
        <w:t>לים עולבות אינן בבחינת קנטור</w:t>
      </w:r>
      <w:r w:rsidRPr="00B15BC3">
        <w:rPr>
          <w:rFonts w:ascii="David" w:eastAsiaTheme="minorHAnsi" w:hAnsi="David" w:cs="David" w:hint="cs"/>
          <w:b/>
          <w:bCs/>
          <w:sz w:val="24"/>
          <w:rtl/>
          <w:lang w:eastAsia="en-US"/>
        </w:rPr>
        <w:t>...</w:t>
      </w:r>
      <w:r w:rsidRPr="00B15BC3">
        <w:rPr>
          <w:rFonts w:ascii="David" w:eastAsiaTheme="minorHAnsi" w:hAnsi="David" w:cs="David"/>
          <w:b/>
          <w:bCs/>
          <w:sz w:val="24"/>
          <w:rtl/>
          <w:lang w:eastAsia="en-US"/>
        </w:rPr>
        <w:t>ומכל מקום, הן אינן מצדיקות תגובה נזעמת כה קיצונית כמו קיפוד פתיל חייו של אדם.</w:t>
      </w:r>
      <w:r w:rsidRPr="00B15BC3">
        <w:rPr>
          <w:rFonts w:ascii="David" w:eastAsiaTheme="minorHAnsi" w:hAnsi="David" w:cs="David" w:hint="cs"/>
          <w:b/>
          <w:bCs/>
          <w:sz w:val="24"/>
          <w:rtl/>
          <w:lang w:eastAsia="en-US"/>
        </w:rPr>
        <w:t>"</w:t>
      </w:r>
      <w:r w:rsidRPr="00395311">
        <w:rPr>
          <w:rStyle w:val="a7"/>
          <w:rFonts w:ascii="David" w:eastAsiaTheme="minorHAnsi" w:hAnsi="David" w:cs="David"/>
          <w:b/>
          <w:bCs/>
          <w:sz w:val="24"/>
          <w:rtl/>
          <w:lang w:eastAsia="en-US"/>
        </w:rPr>
        <w:t xml:space="preserve"> </w:t>
      </w:r>
      <w:r w:rsidRPr="00B15BC3">
        <w:rPr>
          <w:rStyle w:val="a7"/>
          <w:rFonts w:ascii="David" w:eastAsiaTheme="minorHAnsi" w:hAnsi="David" w:cs="David"/>
          <w:b/>
          <w:bCs/>
          <w:sz w:val="24"/>
          <w:rtl/>
          <w:lang w:eastAsia="en-US"/>
        </w:rPr>
        <w:footnoteReference w:id="11"/>
      </w:r>
    </w:p>
    <w:p w:rsidR="00B255A5" w:rsidRDefault="00B255A5" w:rsidP="00B255A5">
      <w:pPr>
        <w:spacing w:before="120" w:after="0" w:line="360" w:lineRule="auto"/>
        <w:jc w:val="both"/>
        <w:rPr>
          <w:rFonts w:ascii="David" w:hAnsi="David" w:cs="David"/>
          <w:sz w:val="24"/>
          <w:szCs w:val="24"/>
          <w:rtl/>
        </w:rPr>
      </w:pPr>
    </w:p>
    <w:p w:rsidR="00B255A5" w:rsidRPr="001C7198" w:rsidRDefault="00B255A5" w:rsidP="00B255A5">
      <w:pPr>
        <w:spacing w:before="120" w:after="0" w:line="360" w:lineRule="auto"/>
        <w:jc w:val="both"/>
        <w:rPr>
          <w:rFonts w:ascii="David" w:hAnsi="David" w:cs="David"/>
          <w:sz w:val="24"/>
          <w:szCs w:val="24"/>
          <w:rtl/>
        </w:rPr>
      </w:pPr>
      <w:r w:rsidRPr="001C7198">
        <w:rPr>
          <w:rFonts w:ascii="David" w:hAnsi="David" w:cs="David" w:hint="cs"/>
          <w:sz w:val="24"/>
          <w:szCs w:val="24"/>
          <w:rtl/>
        </w:rPr>
        <w:lastRenderedPageBreak/>
        <w:t xml:space="preserve">בפסיקה מאוחרת יותר נקבע כי </w:t>
      </w:r>
      <w:r w:rsidRPr="001C7198">
        <w:rPr>
          <w:rFonts w:ascii="David" w:hAnsi="David" w:cs="David" w:hint="cs"/>
          <w:sz w:val="24"/>
          <w:szCs w:val="24"/>
          <w:u w:val="single"/>
          <w:rtl/>
        </w:rPr>
        <w:t>ככלל הנטייה</w:t>
      </w:r>
      <w:r w:rsidRPr="001C7198">
        <w:rPr>
          <w:rFonts w:ascii="David" w:hAnsi="David" w:cs="David" w:hint="cs"/>
          <w:sz w:val="24"/>
          <w:szCs w:val="24"/>
          <w:rtl/>
        </w:rPr>
        <w:t xml:space="preserve"> בפסיקה להכיר באמירות כהתגרות הנה מזערית</w:t>
      </w:r>
      <w:r>
        <w:rPr>
          <w:rFonts w:ascii="David" w:hAnsi="David" w:cs="David" w:hint="cs"/>
          <w:sz w:val="24"/>
          <w:szCs w:val="24"/>
          <w:rtl/>
        </w:rPr>
        <w:t xml:space="preserve"> (אך לא כשלילה מוחלטת של אפשרות זו)</w:t>
      </w:r>
      <w:r w:rsidRPr="001C7198">
        <w:rPr>
          <w:rFonts w:ascii="David" w:hAnsi="David" w:cs="David" w:hint="cs"/>
          <w:sz w:val="24"/>
          <w:szCs w:val="24"/>
          <w:rtl/>
        </w:rPr>
        <w:t>:</w:t>
      </w:r>
    </w:p>
    <w:p w:rsidR="00B255A5" w:rsidRDefault="00B255A5" w:rsidP="00B255A5">
      <w:pPr>
        <w:pStyle w:val="Ruller4"/>
      </w:pPr>
      <w:r>
        <w:rPr>
          <w:rFonts w:ascii="David" w:hAnsi="David" w:cs="David" w:hint="cs"/>
          <w:b/>
          <w:bCs/>
          <w:spacing w:val="0"/>
          <w:sz w:val="24"/>
          <w:szCs w:val="24"/>
          <w:rtl/>
        </w:rPr>
        <w:t>"</w:t>
      </w:r>
      <w:r w:rsidRPr="001C7198">
        <w:rPr>
          <w:rFonts w:ascii="David" w:hAnsi="David" w:cs="David"/>
          <w:b/>
          <w:bCs/>
          <w:spacing w:val="0"/>
          <w:sz w:val="24"/>
          <w:szCs w:val="24"/>
          <w:rtl/>
        </w:rPr>
        <w:t>ככלל, הנטייה בפסיקה להכיר באמירות מילוליות כגורמות לקנטור הנה מזערית מאחר שאין בהן להצדיק התלהטות יצרים וזעם כה רב שיובילו לתגובה הקטלנית (</w:t>
      </w:r>
      <w:hyperlink r:id="rId8" w:history="1">
        <w:r w:rsidRPr="001C7198">
          <w:rPr>
            <w:rFonts w:ascii="David" w:hAnsi="David" w:cs="David"/>
            <w:b/>
            <w:bCs/>
            <w:spacing w:val="0"/>
            <w:sz w:val="24"/>
            <w:szCs w:val="24"/>
            <w:rtl/>
          </w:rPr>
          <w:t>ע"פ 655/78 שמידמן נ' היועץ המשפטי לממשלה פ"ד לד</w:t>
        </w:r>
      </w:hyperlink>
      <w:r w:rsidRPr="001C7198">
        <w:rPr>
          <w:rFonts w:ascii="David" w:hAnsi="David" w:cs="David"/>
          <w:b/>
          <w:bCs/>
          <w:spacing w:val="0"/>
          <w:sz w:val="24"/>
          <w:szCs w:val="24"/>
          <w:rtl/>
        </w:rPr>
        <w:t>(1) 73 (1979)).</w:t>
      </w:r>
      <w:r w:rsidRPr="001C7198">
        <w:rPr>
          <w:rFonts w:ascii="David" w:hAnsi="David" w:cs="David" w:hint="cs"/>
          <w:b/>
          <w:bCs/>
          <w:spacing w:val="0"/>
          <w:sz w:val="24"/>
          <w:szCs w:val="24"/>
          <w:rtl/>
        </w:rPr>
        <w:t>.....</w:t>
      </w:r>
      <w:r w:rsidRPr="001C7198">
        <w:rPr>
          <w:rFonts w:ascii="David" w:hAnsi="David" w:cs="David"/>
          <w:b/>
          <w:bCs/>
          <w:spacing w:val="0"/>
          <w:sz w:val="24"/>
          <w:szCs w:val="24"/>
          <w:rtl/>
        </w:rPr>
        <w:t xml:space="preserve"> בפרט, נראה כי יש להיזהר מפני הכרה באמירות מעליבות על רקע מיני או בגין פגיעה בגבריות כבסיס להכרה בקנטור</w:t>
      </w:r>
      <w:r>
        <w:rPr>
          <w:rtl/>
        </w:rPr>
        <w:t>.</w:t>
      </w:r>
      <w:r>
        <w:rPr>
          <w:rFonts w:hint="cs"/>
          <w:rtl/>
        </w:rPr>
        <w:t>"</w:t>
      </w:r>
      <w:r w:rsidRPr="00395311">
        <w:rPr>
          <w:rStyle w:val="a7"/>
          <w:rtl/>
        </w:rPr>
        <w:t xml:space="preserve"> </w:t>
      </w:r>
      <w:r>
        <w:rPr>
          <w:rStyle w:val="a7"/>
          <w:rtl/>
        </w:rPr>
        <w:footnoteReference w:id="12"/>
      </w:r>
    </w:p>
    <w:p w:rsidR="00B255A5" w:rsidRPr="00601CD3" w:rsidRDefault="00B255A5" w:rsidP="00B255A5">
      <w:pPr>
        <w:pStyle w:val="ruller50"/>
        <w:rPr>
          <w:rFonts w:ascii="David" w:eastAsiaTheme="minorHAnsi" w:hAnsi="David" w:cs="David"/>
          <w:spacing w:val="0"/>
          <w:sz w:val="24"/>
          <w:szCs w:val="24"/>
          <w:rtl/>
          <w:lang w:eastAsia="en-US"/>
        </w:rPr>
      </w:pPr>
    </w:p>
    <w:p w:rsidR="00B255A5" w:rsidRPr="00D941C3" w:rsidRDefault="00B255A5" w:rsidP="00B255A5">
      <w:pPr>
        <w:spacing w:before="120" w:after="0" w:line="360" w:lineRule="auto"/>
        <w:jc w:val="both"/>
        <w:rPr>
          <w:rFonts w:cs="David"/>
          <w:b/>
          <w:bCs/>
          <w:sz w:val="24"/>
          <w:szCs w:val="24"/>
          <w:u w:val="single"/>
          <w:rtl/>
        </w:rPr>
      </w:pPr>
      <w:r w:rsidRPr="00D941C3">
        <w:rPr>
          <w:rFonts w:cs="David" w:hint="cs"/>
          <w:b/>
          <w:bCs/>
          <w:sz w:val="24"/>
          <w:szCs w:val="24"/>
          <w:u w:val="single"/>
          <w:rtl/>
        </w:rPr>
        <w:t>ההכרה בקנטור- המבחן הסובייקטיבי והמבחן האובייקטיבי</w:t>
      </w:r>
    </w:p>
    <w:p w:rsidR="00B255A5" w:rsidRPr="008B41FD" w:rsidRDefault="00B255A5" w:rsidP="00B255A5">
      <w:pPr>
        <w:spacing w:before="120" w:after="0" w:line="360" w:lineRule="auto"/>
        <w:jc w:val="both"/>
        <w:rPr>
          <w:rFonts w:cs="David"/>
          <w:sz w:val="24"/>
          <w:szCs w:val="24"/>
          <w:rtl/>
        </w:rPr>
      </w:pPr>
      <w:r w:rsidRPr="008B41FD">
        <w:rPr>
          <w:rFonts w:cs="David" w:hint="cs"/>
          <w:sz w:val="24"/>
          <w:szCs w:val="24"/>
          <w:rtl/>
        </w:rPr>
        <w:t xml:space="preserve">יסוד </w:t>
      </w:r>
      <w:r>
        <w:rPr>
          <w:rFonts w:cs="David" w:hint="cs"/>
          <w:sz w:val="24"/>
          <w:szCs w:val="24"/>
          <w:rtl/>
        </w:rPr>
        <w:t xml:space="preserve">היעדר הקנטור </w:t>
      </w:r>
      <w:r w:rsidRPr="008B41FD">
        <w:rPr>
          <w:rFonts w:cs="David" w:hint="cs"/>
          <w:sz w:val="24"/>
          <w:szCs w:val="24"/>
          <w:rtl/>
        </w:rPr>
        <w:t>התפרש בפסיקה כמחיל שני מבחנים, סובייקטיבי ו</w:t>
      </w:r>
      <w:r>
        <w:rPr>
          <w:rFonts w:cs="David" w:hint="cs"/>
          <w:sz w:val="24"/>
          <w:szCs w:val="24"/>
          <w:rtl/>
        </w:rPr>
        <w:t xml:space="preserve">נורמטיבי- </w:t>
      </w:r>
      <w:r w:rsidRPr="008B41FD">
        <w:rPr>
          <w:rFonts w:cs="David" w:hint="cs"/>
          <w:sz w:val="24"/>
          <w:szCs w:val="24"/>
          <w:rtl/>
        </w:rPr>
        <w:t>אובייקטיבי, כמבחנים מצטברים</w:t>
      </w:r>
      <w:r w:rsidRPr="008B41FD">
        <w:rPr>
          <w:rStyle w:val="a7"/>
          <w:rFonts w:cs="David"/>
          <w:sz w:val="24"/>
          <w:szCs w:val="24"/>
          <w:rtl/>
        </w:rPr>
        <w:footnoteReference w:id="13"/>
      </w:r>
      <w:r w:rsidRPr="008B41FD">
        <w:rPr>
          <w:rFonts w:cs="David" w:hint="cs"/>
          <w:sz w:val="24"/>
          <w:szCs w:val="24"/>
          <w:rtl/>
        </w:rPr>
        <w:t xml:space="preserve">. </w:t>
      </w:r>
    </w:p>
    <w:p w:rsidR="00B255A5" w:rsidRPr="008B41FD" w:rsidRDefault="00B255A5" w:rsidP="00B255A5">
      <w:pPr>
        <w:spacing w:before="120" w:after="0" w:line="360" w:lineRule="auto"/>
        <w:rPr>
          <w:rFonts w:cs="David"/>
          <w:sz w:val="24"/>
          <w:szCs w:val="24"/>
          <w:rtl/>
        </w:rPr>
      </w:pPr>
      <w:r w:rsidRPr="008B41FD">
        <w:rPr>
          <w:rFonts w:cs="David" w:hint="cs"/>
          <w:sz w:val="24"/>
          <w:szCs w:val="24"/>
          <w:rtl/>
        </w:rPr>
        <w:t xml:space="preserve">המבחן הסובייקטיבי </w:t>
      </w:r>
      <w:r>
        <w:rPr>
          <w:rFonts w:cs="David" w:hint="cs"/>
          <w:sz w:val="24"/>
          <w:szCs w:val="24"/>
          <w:rtl/>
        </w:rPr>
        <w:t>מתאפיין ב</w:t>
      </w:r>
      <w:r w:rsidRPr="008B41FD">
        <w:rPr>
          <w:rFonts w:cs="David" w:hint="cs"/>
          <w:sz w:val="24"/>
          <w:szCs w:val="24"/>
          <w:rtl/>
        </w:rPr>
        <w:t>היעדר שליטה עצמית שנגרם על ידי ההתגרות</w:t>
      </w:r>
      <w:r>
        <w:rPr>
          <w:rFonts w:cs="David" w:hint="cs"/>
          <w:sz w:val="24"/>
          <w:szCs w:val="24"/>
          <w:rtl/>
        </w:rPr>
        <w:t>:</w:t>
      </w:r>
    </w:p>
    <w:p w:rsidR="00B255A5" w:rsidRPr="008B41FD" w:rsidRDefault="00B255A5" w:rsidP="00B255A5">
      <w:pPr>
        <w:spacing w:before="120" w:after="0" w:line="360" w:lineRule="auto"/>
        <w:ind w:left="680" w:right="680"/>
        <w:jc w:val="both"/>
        <w:rPr>
          <w:rFonts w:cs="David"/>
          <w:b/>
          <w:bCs/>
          <w:sz w:val="24"/>
          <w:szCs w:val="24"/>
          <w:rtl/>
        </w:rPr>
      </w:pPr>
      <w:r w:rsidRPr="008B41FD">
        <w:rPr>
          <w:rFonts w:cs="David" w:hint="cs"/>
          <w:b/>
          <w:bCs/>
          <w:sz w:val="24"/>
          <w:szCs w:val="24"/>
          <w:rtl/>
        </w:rPr>
        <w:t>"</w:t>
      </w:r>
      <w:r>
        <w:rPr>
          <w:rFonts w:cs="David" w:hint="cs"/>
          <w:b/>
          <w:bCs/>
          <w:sz w:val="24"/>
          <w:szCs w:val="24"/>
          <w:rtl/>
        </w:rPr>
        <w:t>ה</w:t>
      </w:r>
      <w:r w:rsidRPr="008B41FD">
        <w:rPr>
          <w:rFonts w:cs="David" w:hint="cs"/>
          <w:b/>
          <w:bCs/>
          <w:sz w:val="24"/>
          <w:szCs w:val="24"/>
          <w:rtl/>
        </w:rPr>
        <w:t xml:space="preserve">אם ההתנהגות </w:t>
      </w:r>
      <w:r>
        <w:rPr>
          <w:rFonts w:cs="David" w:hint="cs"/>
          <w:b/>
          <w:bCs/>
          <w:sz w:val="24"/>
          <w:szCs w:val="24"/>
          <w:rtl/>
        </w:rPr>
        <w:t xml:space="preserve">המקנטרת </w:t>
      </w:r>
      <w:r w:rsidRPr="008B41FD">
        <w:rPr>
          <w:rFonts w:cs="David" w:hint="cs"/>
          <w:b/>
          <w:bCs/>
          <w:sz w:val="24"/>
          <w:szCs w:val="24"/>
          <w:rtl/>
        </w:rPr>
        <w:t xml:space="preserve">השפיעה בפועל על הנאשם </w:t>
      </w:r>
      <w:r>
        <w:rPr>
          <w:rFonts w:cs="David" w:hint="cs"/>
          <w:sz w:val="24"/>
          <w:szCs w:val="24"/>
          <w:rtl/>
        </w:rPr>
        <w:t>עד כדי לגרום</w:t>
      </w:r>
      <w:r w:rsidRPr="008B41FD">
        <w:rPr>
          <w:rFonts w:cs="David" w:hint="cs"/>
          <w:b/>
          <w:bCs/>
          <w:sz w:val="24"/>
          <w:szCs w:val="24"/>
          <w:rtl/>
        </w:rPr>
        <w:t xml:space="preserve"> "לאיבוד שליטתו העצמית, כך שביצע את המעשה הקטלני בלי לחשוב על תוצאות מעשהו</w:t>
      </w:r>
      <w:r>
        <w:rPr>
          <w:rStyle w:val="a7"/>
          <w:rFonts w:cs="David"/>
          <w:b/>
          <w:bCs/>
          <w:sz w:val="24"/>
          <w:szCs w:val="24"/>
          <w:rtl/>
        </w:rPr>
        <w:footnoteReference w:id="14"/>
      </w:r>
      <w:r w:rsidRPr="008B41FD">
        <w:rPr>
          <w:rFonts w:cs="David" w:hint="cs"/>
          <w:b/>
          <w:bCs/>
          <w:sz w:val="24"/>
          <w:szCs w:val="24"/>
          <w:rtl/>
        </w:rPr>
        <w:t>."</w:t>
      </w:r>
    </w:p>
    <w:p w:rsidR="00B255A5" w:rsidRPr="008B41FD" w:rsidRDefault="00B255A5" w:rsidP="00B255A5">
      <w:pPr>
        <w:spacing w:before="120" w:after="0" w:line="360" w:lineRule="auto"/>
        <w:jc w:val="both"/>
        <w:rPr>
          <w:rFonts w:cs="David"/>
          <w:sz w:val="24"/>
          <w:szCs w:val="24"/>
          <w:rtl/>
        </w:rPr>
      </w:pPr>
      <w:r>
        <w:rPr>
          <w:rFonts w:cs="David" w:hint="cs"/>
          <w:sz w:val="24"/>
          <w:szCs w:val="24"/>
          <w:rtl/>
        </w:rPr>
        <w:t>הכוונה ל</w:t>
      </w:r>
      <w:r w:rsidRPr="008B41FD">
        <w:rPr>
          <w:rFonts w:cs="David" w:hint="cs"/>
          <w:sz w:val="24"/>
          <w:szCs w:val="24"/>
          <w:rtl/>
        </w:rPr>
        <w:t xml:space="preserve">מצבים בהם </w:t>
      </w:r>
      <w:r>
        <w:rPr>
          <w:rFonts w:cs="David" w:hint="cs"/>
          <w:sz w:val="24"/>
          <w:szCs w:val="24"/>
          <w:rtl/>
        </w:rPr>
        <w:t xml:space="preserve">בשל </w:t>
      </w:r>
      <w:r w:rsidRPr="008B41FD">
        <w:rPr>
          <w:rFonts w:cs="David" w:hint="cs"/>
          <w:sz w:val="24"/>
          <w:szCs w:val="24"/>
          <w:rtl/>
        </w:rPr>
        <w:t xml:space="preserve">סערת רוחו נחלשו מעצוריו הנפשיים </w:t>
      </w:r>
      <w:r>
        <w:rPr>
          <w:rFonts w:cs="David" w:hint="cs"/>
          <w:sz w:val="24"/>
          <w:szCs w:val="24"/>
          <w:rtl/>
        </w:rPr>
        <w:t xml:space="preserve">של הנאשם </w:t>
      </w:r>
      <w:r w:rsidRPr="008B41FD">
        <w:rPr>
          <w:rFonts w:cs="David" w:hint="cs"/>
          <w:sz w:val="24"/>
          <w:szCs w:val="24"/>
          <w:rtl/>
        </w:rPr>
        <w:t xml:space="preserve">עד שלא שקל והעריך מוסרית את התוצאה הקטלנית, כלומר שהמצב הנפשי התגבש באופן ספונטני, </w:t>
      </w:r>
      <w:r>
        <w:rPr>
          <w:rFonts w:cs="David" w:hint="cs"/>
          <w:sz w:val="24"/>
          <w:szCs w:val="24"/>
          <w:rtl/>
        </w:rPr>
        <w:t xml:space="preserve">מתוך החלטה פתאומית, שלא היו מאחוריה </w:t>
      </w:r>
      <w:r w:rsidRPr="008B41FD">
        <w:rPr>
          <w:rFonts w:cs="David" w:hint="cs"/>
          <w:sz w:val="24"/>
          <w:szCs w:val="24"/>
          <w:rtl/>
        </w:rPr>
        <w:t>שיקול ויישוב דעת</w:t>
      </w:r>
      <w:r w:rsidRPr="008B41FD">
        <w:rPr>
          <w:rStyle w:val="a7"/>
          <w:rFonts w:cs="David"/>
          <w:sz w:val="24"/>
          <w:szCs w:val="24"/>
          <w:rtl/>
        </w:rPr>
        <w:footnoteReference w:id="15"/>
      </w:r>
      <w:r w:rsidRPr="008B41FD">
        <w:rPr>
          <w:rFonts w:cs="David" w:hint="cs"/>
          <w:sz w:val="24"/>
          <w:szCs w:val="24"/>
          <w:rtl/>
        </w:rPr>
        <w:t xml:space="preserve">. </w:t>
      </w:r>
    </w:p>
    <w:p w:rsidR="00B255A5" w:rsidRPr="008B41FD" w:rsidRDefault="00B255A5" w:rsidP="00B255A5">
      <w:pPr>
        <w:spacing w:before="120" w:after="0" w:line="360" w:lineRule="auto"/>
        <w:jc w:val="both"/>
        <w:rPr>
          <w:rFonts w:ascii="David" w:hAnsi="David" w:cs="David"/>
          <w:sz w:val="24"/>
          <w:szCs w:val="24"/>
        </w:rPr>
      </w:pPr>
      <w:r>
        <w:rPr>
          <w:rFonts w:ascii="David" w:hAnsi="David" w:cs="David" w:hint="cs"/>
          <w:sz w:val="24"/>
          <w:szCs w:val="24"/>
          <w:rtl/>
        </w:rPr>
        <w:t>בפרשת סגל ובפסיקה שהתגבשה מאז קבע בית המשפט כי יסוד הקנטור כולל גם אלמנט נורמטיבי- אובייקטיבי הבוחן כקנה מידה את הישראלי הטיפוסי</w:t>
      </w:r>
      <w:r>
        <w:rPr>
          <w:rStyle w:val="a7"/>
          <w:rFonts w:ascii="David" w:hAnsi="David" w:cs="David"/>
          <w:sz w:val="24"/>
          <w:szCs w:val="24"/>
          <w:rtl/>
        </w:rPr>
        <w:footnoteReference w:id="16"/>
      </w:r>
      <w:r>
        <w:rPr>
          <w:rFonts w:ascii="David" w:hAnsi="David" w:cs="David" w:hint="cs"/>
          <w:sz w:val="24"/>
          <w:szCs w:val="24"/>
          <w:rtl/>
        </w:rPr>
        <w:t>.</w:t>
      </w:r>
    </w:p>
    <w:p w:rsidR="00B255A5" w:rsidRPr="00556793" w:rsidRDefault="00B255A5" w:rsidP="00B255A5">
      <w:pPr>
        <w:spacing w:before="120" w:after="0" w:line="360" w:lineRule="auto"/>
        <w:jc w:val="both"/>
        <w:rPr>
          <w:rFonts w:cs="David"/>
          <w:b/>
          <w:bCs/>
          <w:sz w:val="24"/>
          <w:szCs w:val="24"/>
          <w:rtl/>
        </w:rPr>
      </w:pPr>
      <w:r w:rsidRPr="008B41FD">
        <w:rPr>
          <w:rFonts w:cs="David" w:hint="cs"/>
          <w:sz w:val="24"/>
          <w:szCs w:val="24"/>
          <w:rtl/>
        </w:rPr>
        <w:t xml:space="preserve">המבחן </w:t>
      </w:r>
      <w:r>
        <w:rPr>
          <w:rFonts w:cs="David" w:hint="cs"/>
          <w:sz w:val="24"/>
          <w:szCs w:val="24"/>
          <w:rtl/>
        </w:rPr>
        <w:t>הנורמטיבי-</w:t>
      </w:r>
      <w:r w:rsidRPr="008B41FD">
        <w:rPr>
          <w:rFonts w:cs="David" w:hint="cs"/>
          <w:sz w:val="24"/>
          <w:szCs w:val="24"/>
          <w:rtl/>
        </w:rPr>
        <w:t xml:space="preserve">אובייקטיבי </w:t>
      </w:r>
      <w:r>
        <w:rPr>
          <w:rFonts w:cs="David" w:hint="cs"/>
          <w:sz w:val="24"/>
          <w:szCs w:val="24"/>
          <w:rtl/>
        </w:rPr>
        <w:t xml:space="preserve">בודק </w:t>
      </w:r>
      <w:r w:rsidRPr="008B41FD">
        <w:rPr>
          <w:rFonts w:cs="David" w:hint="cs"/>
          <w:b/>
          <w:bCs/>
          <w:sz w:val="24"/>
          <w:szCs w:val="24"/>
          <w:rtl/>
        </w:rPr>
        <w:t>"האם אדם מן היישוב היה עשוי, בהיותו נתון במצבו של הנאשם, לאבד את השליטה העצמית ולהגיב בדרך הקטלנית בה הגיב הנאשם</w:t>
      </w:r>
      <w:r>
        <w:rPr>
          <w:rFonts w:cs="David" w:hint="cs"/>
          <w:b/>
          <w:bCs/>
          <w:sz w:val="24"/>
          <w:szCs w:val="24"/>
          <w:rtl/>
        </w:rPr>
        <w:t xml:space="preserve">.... האם אפשר להסיק </w:t>
      </w:r>
      <w:r w:rsidRPr="008B41FD">
        <w:rPr>
          <w:rFonts w:cs="David" w:hint="cs"/>
          <w:b/>
          <w:bCs/>
          <w:sz w:val="24"/>
          <w:szCs w:val="24"/>
          <w:rtl/>
        </w:rPr>
        <w:t xml:space="preserve">שרוב האנשים היו </w:t>
      </w:r>
      <w:r w:rsidRPr="00C2416D">
        <w:rPr>
          <w:rFonts w:cs="David" w:hint="cs"/>
          <w:b/>
          <w:bCs/>
          <w:sz w:val="24"/>
          <w:szCs w:val="24"/>
          <w:rtl/>
        </w:rPr>
        <w:t>מתקשים מאד שלא להיכנע להשפעתו ולפיכך היו עלולים להגיב בצורה הקטלנית שבה הגיב הנאשם".</w:t>
      </w:r>
      <w:r w:rsidRPr="00C2416D">
        <w:rPr>
          <w:rStyle w:val="a7"/>
          <w:rFonts w:cs="David"/>
          <w:sz w:val="24"/>
          <w:szCs w:val="24"/>
          <w:rtl/>
        </w:rPr>
        <w:footnoteReference w:id="17"/>
      </w:r>
    </w:p>
    <w:p w:rsidR="00B255A5" w:rsidRDefault="00B255A5" w:rsidP="00B255A5">
      <w:pPr>
        <w:spacing w:before="120" w:after="0" w:line="360" w:lineRule="auto"/>
        <w:jc w:val="both"/>
        <w:rPr>
          <w:rFonts w:cs="David"/>
          <w:sz w:val="24"/>
          <w:szCs w:val="24"/>
          <w:rtl/>
        </w:rPr>
      </w:pPr>
      <w:r w:rsidRPr="008B41FD">
        <w:rPr>
          <w:rFonts w:cs="David" w:hint="cs"/>
          <w:sz w:val="24"/>
          <w:szCs w:val="24"/>
          <w:rtl/>
        </w:rPr>
        <w:t xml:space="preserve">במבחן </w:t>
      </w:r>
      <w:r>
        <w:rPr>
          <w:rFonts w:cs="David" w:hint="cs"/>
          <w:sz w:val="24"/>
          <w:szCs w:val="24"/>
          <w:rtl/>
        </w:rPr>
        <w:t xml:space="preserve">הנורמטיבי- </w:t>
      </w:r>
      <w:r w:rsidRPr="008B41FD">
        <w:rPr>
          <w:rFonts w:cs="David" w:hint="cs"/>
          <w:sz w:val="24"/>
          <w:szCs w:val="24"/>
          <w:rtl/>
        </w:rPr>
        <w:t>אובייקטיבי מעריך בית המשפט וקובע, לאחר בחינת שיקולי מדיניות חברתיים, הערכה נורמטי</w:t>
      </w:r>
      <w:r>
        <w:rPr>
          <w:rFonts w:cs="David" w:hint="cs"/>
          <w:sz w:val="24"/>
          <w:szCs w:val="24"/>
          <w:rtl/>
        </w:rPr>
        <w:t xml:space="preserve">בית כיצד היה נוהג האדם מן היישוב (בתי המשפט נקטו לעיתים במונח אדם מן היישוב/ האדם הסביר/ הישראלי המצוי) </w:t>
      </w:r>
      <w:r w:rsidRPr="008B41FD">
        <w:rPr>
          <w:rFonts w:cs="David" w:hint="cs"/>
          <w:sz w:val="24"/>
          <w:szCs w:val="24"/>
          <w:rtl/>
        </w:rPr>
        <w:t>.</w:t>
      </w:r>
      <w:r>
        <w:rPr>
          <w:rFonts w:cs="David" w:hint="cs"/>
          <w:sz w:val="24"/>
          <w:szCs w:val="24"/>
          <w:rtl/>
        </w:rPr>
        <w:t xml:space="preserve"> עמד על כך בתי המשפט בפרשת </w:t>
      </w:r>
      <w:r w:rsidRPr="00F27558">
        <w:rPr>
          <w:rFonts w:cs="David" w:hint="cs"/>
          <w:b/>
          <w:bCs/>
          <w:sz w:val="24"/>
          <w:szCs w:val="24"/>
          <w:rtl/>
        </w:rPr>
        <w:t>מוזפר</w:t>
      </w:r>
      <w:r>
        <w:rPr>
          <w:rStyle w:val="a7"/>
          <w:rFonts w:cs="David"/>
          <w:b/>
          <w:bCs/>
          <w:sz w:val="24"/>
          <w:szCs w:val="24"/>
          <w:rtl/>
        </w:rPr>
        <w:footnoteReference w:id="18"/>
      </w:r>
      <w:r>
        <w:rPr>
          <w:rFonts w:cs="David" w:hint="cs"/>
          <w:sz w:val="24"/>
          <w:szCs w:val="24"/>
          <w:rtl/>
        </w:rPr>
        <w:t xml:space="preserve">: </w:t>
      </w:r>
    </w:p>
    <w:p w:rsidR="00B255A5" w:rsidRPr="008B41FD" w:rsidRDefault="00B255A5" w:rsidP="00B255A5">
      <w:pPr>
        <w:spacing w:before="120" w:after="0" w:line="360" w:lineRule="auto"/>
        <w:ind w:left="680" w:right="680"/>
        <w:jc w:val="both"/>
        <w:rPr>
          <w:rFonts w:cs="David"/>
          <w:sz w:val="24"/>
          <w:szCs w:val="24"/>
          <w:rtl/>
        </w:rPr>
      </w:pPr>
      <w:r>
        <w:rPr>
          <w:rFonts w:cs="David" w:hint="cs"/>
          <w:b/>
          <w:bCs/>
          <w:sz w:val="24"/>
          <w:szCs w:val="24"/>
          <w:rtl/>
        </w:rPr>
        <w:t>"</w:t>
      </w:r>
      <w:r w:rsidRPr="00D941C3">
        <w:rPr>
          <w:rFonts w:cs="David" w:hint="cs"/>
          <w:b/>
          <w:bCs/>
          <w:sz w:val="24"/>
          <w:szCs w:val="24"/>
          <w:rtl/>
        </w:rPr>
        <w:t xml:space="preserve">המבחן האובייקטיבי עומד על התנהגותו של ה'אדם מן הישוב' במצבו של הנאשם. הודגש בפסיקה כי אין אנו בוחנים את האדם הסביר האידיאלי כליל </w:t>
      </w:r>
      <w:r w:rsidRPr="00D941C3">
        <w:rPr>
          <w:rFonts w:cs="David" w:hint="cs"/>
          <w:b/>
          <w:bCs/>
          <w:sz w:val="24"/>
          <w:szCs w:val="24"/>
          <w:rtl/>
        </w:rPr>
        <w:lastRenderedPageBreak/>
        <w:t>השלמות, אלא את האדם הישראלי על מעלותיו וחסרונותיו. עם זאת, לא מדובר במבחן אמפירי או סטטיסטי השואל כיצד היו נוהגים רוב האנשים במדינה בהיותם במצבו של הנאשם (</w:t>
      </w:r>
      <w:hyperlink r:id="rId9" w:history="1">
        <w:r w:rsidRPr="00D941C3">
          <w:rPr>
            <w:rFonts w:cs="David" w:hint="cs"/>
            <w:b/>
            <w:bCs/>
            <w:sz w:val="24"/>
            <w:szCs w:val="24"/>
            <w:rtl/>
          </w:rPr>
          <w:t>ע"פ 402/87 מדינת ישראל נ' גנדי, פ"ד מב</w:t>
        </w:r>
      </w:hyperlink>
      <w:r w:rsidRPr="00D941C3">
        <w:rPr>
          <w:rFonts w:cs="David" w:hint="cs"/>
          <w:b/>
          <w:bCs/>
          <w:sz w:val="24"/>
          <w:szCs w:val="24"/>
          <w:rtl/>
        </w:rPr>
        <w:t xml:space="preserve">(3) 383, 392; </w:t>
      </w:r>
      <w:r w:rsidRPr="00D941C3">
        <w:rPr>
          <w:rFonts w:cs="David"/>
          <w:b/>
          <w:bCs/>
          <w:sz w:val="24"/>
          <w:szCs w:val="24"/>
          <w:rtl/>
        </w:rPr>
        <w:t xml:space="preserve">עניין בנו, </w:t>
      </w:r>
      <w:r w:rsidRPr="00D941C3">
        <w:rPr>
          <w:rFonts w:cs="David" w:hint="cs"/>
          <w:b/>
          <w:bCs/>
          <w:sz w:val="24"/>
          <w:szCs w:val="24"/>
          <w:rtl/>
        </w:rPr>
        <w:t>בעמ' 580). עסקינן בקביעה נורמטיבית. על בית המשפט לבחון אם בנסיבות העניין צפוי כי אדם מן היישוב היה עלול להיכנע ליצר התגובה מול ההתגרות, בלי שיצליח לרסן את עצמו (</w:t>
      </w:r>
      <w:r w:rsidRPr="00D941C3">
        <w:rPr>
          <w:rFonts w:cs="David"/>
          <w:b/>
          <w:bCs/>
          <w:sz w:val="24"/>
          <w:szCs w:val="24"/>
          <w:rtl/>
        </w:rPr>
        <w:t>עניין אזואלוס</w:t>
      </w:r>
      <w:r w:rsidRPr="00D941C3">
        <w:rPr>
          <w:rFonts w:cs="David" w:hint="cs"/>
          <w:b/>
          <w:bCs/>
          <w:sz w:val="24"/>
          <w:szCs w:val="24"/>
          <w:rtl/>
        </w:rPr>
        <w:t>, בעמ' 580; ראו גם פרק ח' ל</w:t>
      </w:r>
      <w:r w:rsidRPr="00D941C3">
        <w:rPr>
          <w:rFonts w:cs="David"/>
          <w:b/>
          <w:bCs/>
          <w:sz w:val="24"/>
          <w:szCs w:val="24"/>
          <w:rtl/>
        </w:rPr>
        <w:t xml:space="preserve">דנ"פ ביטון </w:t>
      </w:r>
      <w:r w:rsidRPr="00D941C3">
        <w:rPr>
          <w:rFonts w:cs="David" w:hint="cs"/>
          <w:b/>
          <w:bCs/>
          <w:sz w:val="24"/>
          <w:szCs w:val="24"/>
          <w:rtl/>
        </w:rPr>
        <w:t>שנושא את הכותרת "היעדר התגרות - המבחן האובייקטיבי"). ניתן להציג את השאלה באופן הבא: האם המשפט הישראלי נכון להכיר בקנטור הסובייקטיבי שחווה הנאשם כמצדיק מבחינה נורמטיבית את שלילת אחריותו מעבירת הרצח.</w:t>
      </w:r>
      <w:r>
        <w:rPr>
          <w:rFonts w:cs="David" w:hint="cs"/>
          <w:b/>
          <w:bCs/>
          <w:sz w:val="24"/>
          <w:szCs w:val="24"/>
          <w:rtl/>
        </w:rPr>
        <w:t>"</w:t>
      </w:r>
    </w:p>
    <w:p w:rsidR="00B255A5" w:rsidRDefault="00B255A5" w:rsidP="00B255A5">
      <w:pPr>
        <w:spacing w:before="120" w:after="0" w:line="360" w:lineRule="auto"/>
        <w:jc w:val="both"/>
        <w:rPr>
          <w:rFonts w:cs="David"/>
          <w:sz w:val="24"/>
          <w:szCs w:val="24"/>
          <w:rtl/>
        </w:rPr>
      </w:pPr>
      <w:r w:rsidRPr="008B41FD">
        <w:rPr>
          <w:rFonts w:cs="David" w:hint="cs"/>
          <w:sz w:val="24"/>
          <w:szCs w:val="24"/>
          <w:rtl/>
        </w:rPr>
        <w:t xml:space="preserve">המבחן האובייקטיבי עורר ביקורת חריפה בספרות. </w:t>
      </w:r>
      <w:r>
        <w:rPr>
          <w:rFonts w:cs="David" w:hint="cs"/>
          <w:sz w:val="24"/>
          <w:szCs w:val="24"/>
          <w:rtl/>
        </w:rPr>
        <w:t xml:space="preserve">פרופ' </w:t>
      </w:r>
      <w:r w:rsidRPr="008B41FD">
        <w:rPr>
          <w:rFonts w:cs="David" w:hint="cs"/>
          <w:sz w:val="24"/>
          <w:szCs w:val="24"/>
          <w:rtl/>
        </w:rPr>
        <w:t xml:space="preserve">קרמניצר </w:t>
      </w:r>
      <w:r>
        <w:rPr>
          <w:rFonts w:cs="David" w:hint="cs"/>
          <w:sz w:val="24"/>
          <w:szCs w:val="24"/>
          <w:rtl/>
        </w:rPr>
        <w:t xml:space="preserve">סבר </w:t>
      </w:r>
      <w:r w:rsidRPr="008B41FD">
        <w:rPr>
          <w:rFonts w:cs="David" w:hint="cs"/>
          <w:sz w:val="24"/>
          <w:szCs w:val="24"/>
          <w:rtl/>
        </w:rPr>
        <w:t>כי המבחן האובייקטי</w:t>
      </w:r>
      <w:r>
        <w:rPr>
          <w:rFonts w:cs="David" w:hint="cs"/>
          <w:sz w:val="24"/>
          <w:szCs w:val="24"/>
          <w:rtl/>
        </w:rPr>
        <w:t>ב</w:t>
      </w:r>
      <w:r w:rsidRPr="008B41FD">
        <w:rPr>
          <w:rFonts w:cs="David" w:hint="cs"/>
          <w:sz w:val="24"/>
          <w:szCs w:val="24"/>
          <w:rtl/>
        </w:rPr>
        <w:t>י אינו עולה בקנה אחד עם נוסח החוק, מטשטש בין כוונה תחילה לכוונה ספונטנית ופוגע בעקרון החוקיות</w:t>
      </w:r>
      <w:r>
        <w:rPr>
          <w:rFonts w:cs="David" w:hint="cs"/>
          <w:sz w:val="24"/>
          <w:szCs w:val="24"/>
          <w:rtl/>
        </w:rPr>
        <w:t>.</w:t>
      </w:r>
      <w:r>
        <w:rPr>
          <w:rFonts w:hint="cs"/>
          <w:rtl/>
        </w:rPr>
        <w:t xml:space="preserve">  </w:t>
      </w:r>
      <w:r w:rsidRPr="00395311">
        <w:rPr>
          <w:rFonts w:cs="David" w:hint="cs"/>
          <w:sz w:val="24"/>
          <w:szCs w:val="24"/>
          <w:rtl/>
        </w:rPr>
        <w:t>עוד נמתחה ביקורת על כך שמבחן האדם הסביר מרוקן מתוכן את ההוראה שכן האדם הסביר לעולם לא ימית אדם</w:t>
      </w:r>
      <w:r>
        <w:rPr>
          <w:rStyle w:val="a7"/>
          <w:rFonts w:cs="David"/>
          <w:sz w:val="24"/>
          <w:szCs w:val="24"/>
          <w:rtl/>
        </w:rPr>
        <w:footnoteReference w:id="19"/>
      </w:r>
      <w:r w:rsidRPr="00395311">
        <w:rPr>
          <w:rFonts w:cs="David" w:hint="cs"/>
          <w:sz w:val="24"/>
          <w:szCs w:val="24"/>
          <w:rtl/>
        </w:rPr>
        <w:t>.</w:t>
      </w:r>
      <w:r>
        <w:rPr>
          <w:rFonts w:cs="David" w:hint="cs"/>
          <w:sz w:val="24"/>
          <w:szCs w:val="24"/>
          <w:rtl/>
        </w:rPr>
        <w:t xml:space="preserve"> </w:t>
      </w:r>
    </w:p>
    <w:p w:rsidR="00B255A5" w:rsidRPr="008B41FD" w:rsidRDefault="00B255A5" w:rsidP="00B255A5">
      <w:pPr>
        <w:spacing w:before="120" w:after="0" w:line="360" w:lineRule="auto"/>
        <w:jc w:val="both"/>
        <w:rPr>
          <w:rFonts w:cs="David"/>
          <w:sz w:val="24"/>
          <w:szCs w:val="24"/>
          <w:rtl/>
        </w:rPr>
      </w:pPr>
      <w:r>
        <w:rPr>
          <w:rFonts w:cs="David" w:hint="cs"/>
          <w:sz w:val="24"/>
          <w:szCs w:val="24"/>
          <w:rtl/>
        </w:rPr>
        <w:t>כך גם פרופ' פלר מתח ביקורת בטענה כי גם אם התנהגות לא תחשב כקנטור אך בפועל האדם עצמו המית בתגובה לאותה התנהגות, האם אין בכך כדי לשלול את הכוונה תחילה</w:t>
      </w:r>
      <w:r>
        <w:rPr>
          <w:rStyle w:val="a7"/>
          <w:rFonts w:cs="David"/>
          <w:sz w:val="24"/>
          <w:szCs w:val="24"/>
          <w:rtl/>
        </w:rPr>
        <w:footnoteReference w:id="20"/>
      </w:r>
      <w:r>
        <w:rPr>
          <w:rFonts w:cs="David" w:hint="cs"/>
          <w:sz w:val="24"/>
          <w:szCs w:val="24"/>
          <w:rtl/>
        </w:rPr>
        <w:t xml:space="preserve">. </w:t>
      </w:r>
    </w:p>
    <w:p w:rsidR="00B255A5" w:rsidRDefault="00B255A5" w:rsidP="00B255A5">
      <w:pPr>
        <w:spacing w:before="120" w:after="0" w:line="360" w:lineRule="auto"/>
        <w:jc w:val="both"/>
        <w:rPr>
          <w:rFonts w:cs="FrankRuehl"/>
          <w:sz w:val="28"/>
          <w:szCs w:val="28"/>
          <w:rtl/>
        </w:rPr>
      </w:pPr>
      <w:r>
        <w:rPr>
          <w:rFonts w:cs="David" w:hint="cs"/>
          <w:sz w:val="24"/>
          <w:szCs w:val="24"/>
          <w:rtl/>
        </w:rPr>
        <w:t xml:space="preserve">ואולם, הפסיקה חזרה וקבעה בשורה של פסקי דין שיש צורך באמות מידה נורמטיבית </w:t>
      </w:r>
      <w:r>
        <w:rPr>
          <w:rFonts w:cs="David"/>
          <w:sz w:val="24"/>
          <w:szCs w:val="24"/>
          <w:rtl/>
        </w:rPr>
        <w:t>–</w:t>
      </w:r>
      <w:r>
        <w:rPr>
          <w:rFonts w:cs="David" w:hint="cs"/>
          <w:sz w:val="24"/>
          <w:szCs w:val="24"/>
          <w:rtl/>
        </w:rPr>
        <w:t xml:space="preserve"> אובייקטיבית כדי להגן על החברה. </w:t>
      </w:r>
    </w:p>
    <w:p w:rsidR="00B255A5" w:rsidRPr="00567A7A" w:rsidRDefault="00B255A5" w:rsidP="00B255A5">
      <w:pPr>
        <w:spacing w:before="120" w:after="0" w:line="360" w:lineRule="auto"/>
        <w:jc w:val="both"/>
        <w:rPr>
          <w:rFonts w:cs="David"/>
          <w:sz w:val="24"/>
          <w:szCs w:val="24"/>
          <w:rtl/>
        </w:rPr>
      </w:pPr>
      <w:r w:rsidRPr="00567A7A">
        <w:rPr>
          <w:rFonts w:cs="David" w:hint="cs"/>
          <w:sz w:val="24"/>
          <w:szCs w:val="24"/>
          <w:rtl/>
        </w:rPr>
        <w:t xml:space="preserve">כפי שקובע השופט רובינשטיין בעניין </w:t>
      </w:r>
      <w:r w:rsidRPr="00567A7A">
        <w:rPr>
          <w:rFonts w:cs="David" w:hint="cs"/>
          <w:b/>
          <w:bCs/>
          <w:sz w:val="24"/>
          <w:szCs w:val="24"/>
          <w:rtl/>
        </w:rPr>
        <w:t>גרשוני</w:t>
      </w:r>
      <w:r>
        <w:rPr>
          <w:rStyle w:val="a7"/>
          <w:rFonts w:cs="David"/>
          <w:b/>
          <w:bCs/>
          <w:sz w:val="24"/>
          <w:szCs w:val="24"/>
          <w:rtl/>
        </w:rPr>
        <w:footnoteReference w:id="21"/>
      </w:r>
      <w:r w:rsidRPr="00567A7A">
        <w:rPr>
          <w:rFonts w:cs="David" w:hint="cs"/>
          <w:sz w:val="24"/>
          <w:szCs w:val="24"/>
          <w:rtl/>
        </w:rPr>
        <w:t>:</w:t>
      </w:r>
    </w:p>
    <w:p w:rsidR="00B255A5" w:rsidRPr="001A626F" w:rsidRDefault="00B255A5" w:rsidP="00B255A5">
      <w:pPr>
        <w:spacing w:before="120" w:after="0" w:line="360" w:lineRule="auto"/>
        <w:ind w:left="567" w:right="567"/>
        <w:jc w:val="both"/>
        <w:rPr>
          <w:rFonts w:ascii="David" w:hAnsi="David" w:cs="David"/>
          <w:b/>
          <w:bCs/>
          <w:sz w:val="24"/>
          <w:szCs w:val="24"/>
          <w:rtl/>
        </w:rPr>
      </w:pPr>
      <w:r w:rsidRPr="001A626F">
        <w:rPr>
          <w:rFonts w:ascii="David" w:hAnsi="David" w:cs="David"/>
          <w:b/>
          <w:bCs/>
          <w:sz w:val="24"/>
          <w:szCs w:val="24"/>
          <w:rtl/>
        </w:rPr>
        <w:t>"</w:t>
      </w:r>
      <w:r w:rsidRPr="00567A7A">
        <w:rPr>
          <w:rFonts w:ascii="David" w:hAnsi="David" w:cs="David"/>
          <w:b/>
          <w:bCs/>
          <w:sz w:val="24"/>
          <w:szCs w:val="24"/>
          <w:rtl/>
        </w:rPr>
        <w:t xml:space="preserve"> לטעמי בא המבחן האובייקטיבי להזכירנו, בדין הקיים, כי לא בהפקר ובתוהו עסקינן; לא צערו, או קנאתו, או גחמתו של פלוני בלבד יכולים להיות נר לרגלי בית המשפט;</w:t>
      </w:r>
      <w:r>
        <w:rPr>
          <w:rFonts w:ascii="David" w:hAnsi="David" w:cs="David" w:hint="cs"/>
          <w:b/>
          <w:bCs/>
          <w:sz w:val="24"/>
          <w:szCs w:val="24"/>
          <w:rtl/>
        </w:rPr>
        <w:t>........</w:t>
      </w:r>
      <w:r w:rsidRPr="001A626F">
        <w:rPr>
          <w:rFonts w:ascii="David" w:hAnsi="David" w:cs="David"/>
          <w:b/>
          <w:bCs/>
          <w:sz w:val="24"/>
          <w:szCs w:val="24"/>
          <w:rtl/>
        </w:rPr>
        <w:t>חוששני כי ביטולו של המבחן האובייקטיבי, בעידן של אלימות גוברת, ישדר מסר לא ראוי, שבוודאי אין התומכים בביטול המבחן האובייקטיבי מתכוונים אליו חלילה...".</w:t>
      </w:r>
    </w:p>
    <w:p w:rsidR="00B255A5" w:rsidRDefault="00B255A5" w:rsidP="00B255A5">
      <w:pPr>
        <w:spacing w:before="120" w:after="0" w:line="360" w:lineRule="auto"/>
        <w:jc w:val="both"/>
        <w:rPr>
          <w:rFonts w:cs="David"/>
          <w:sz w:val="24"/>
          <w:szCs w:val="24"/>
          <w:rtl/>
        </w:rPr>
      </w:pPr>
      <w:r>
        <w:rPr>
          <w:rFonts w:cs="David" w:hint="cs"/>
          <w:sz w:val="24"/>
          <w:szCs w:val="24"/>
          <w:rtl/>
        </w:rPr>
        <w:t xml:space="preserve">ואולם, גם </w:t>
      </w:r>
      <w:r w:rsidRPr="008B41FD">
        <w:rPr>
          <w:rFonts w:cs="David" w:hint="cs"/>
          <w:sz w:val="24"/>
          <w:szCs w:val="24"/>
          <w:rtl/>
        </w:rPr>
        <w:t>הפסיקה התבלט</w:t>
      </w:r>
      <w:r>
        <w:rPr>
          <w:rFonts w:cs="David" w:hint="cs"/>
          <w:sz w:val="24"/>
          <w:szCs w:val="24"/>
          <w:rtl/>
        </w:rPr>
        <w:t>ה</w:t>
      </w:r>
      <w:r w:rsidRPr="008B41FD">
        <w:rPr>
          <w:rFonts w:cs="David" w:hint="cs"/>
          <w:sz w:val="24"/>
          <w:szCs w:val="24"/>
          <w:rtl/>
        </w:rPr>
        <w:t xml:space="preserve"> כיצד ראוי להשתמש ב</w:t>
      </w:r>
      <w:r>
        <w:rPr>
          <w:rFonts w:cs="David" w:hint="cs"/>
          <w:sz w:val="24"/>
          <w:szCs w:val="24"/>
          <w:rtl/>
        </w:rPr>
        <w:t>מבחן הנורמטיבי- אובייקטיבי.</w:t>
      </w:r>
      <w:r w:rsidRPr="008B41FD">
        <w:rPr>
          <w:rFonts w:cs="David" w:hint="cs"/>
          <w:sz w:val="24"/>
          <w:szCs w:val="24"/>
          <w:rtl/>
        </w:rPr>
        <w:t xml:space="preserve"> </w:t>
      </w:r>
      <w:r>
        <w:rPr>
          <w:rFonts w:cs="David" w:hint="cs"/>
          <w:sz w:val="24"/>
          <w:szCs w:val="24"/>
          <w:rtl/>
        </w:rPr>
        <w:t>אמנם השתרשה ההלכה כי המבחן הסובייקטיבי והאובייקטיבי הם מבחנים מצטברים. אך שאלת היקפו ודרך השימוש במבחן זה שב ועלה בפסקי הדין</w:t>
      </w:r>
      <w:r w:rsidRPr="008B41FD">
        <w:rPr>
          <w:rStyle w:val="a7"/>
          <w:rFonts w:cs="David"/>
          <w:sz w:val="24"/>
          <w:szCs w:val="24"/>
          <w:rtl/>
        </w:rPr>
        <w:footnoteReference w:id="22"/>
      </w:r>
      <w:r>
        <w:rPr>
          <w:rFonts w:cs="David" w:hint="cs"/>
          <w:sz w:val="24"/>
          <w:szCs w:val="24"/>
          <w:rtl/>
        </w:rPr>
        <w:t xml:space="preserve">. </w:t>
      </w:r>
    </w:p>
    <w:p w:rsidR="00B255A5" w:rsidRDefault="00B255A5" w:rsidP="00B255A5">
      <w:pPr>
        <w:spacing w:before="120" w:after="0" w:line="360" w:lineRule="auto"/>
        <w:jc w:val="both"/>
        <w:rPr>
          <w:rFonts w:cs="David"/>
          <w:sz w:val="24"/>
          <w:szCs w:val="24"/>
          <w:rtl/>
        </w:rPr>
      </w:pPr>
      <w:r>
        <w:rPr>
          <w:rFonts w:cs="David" w:hint="cs"/>
          <w:sz w:val="24"/>
          <w:szCs w:val="24"/>
          <w:rtl/>
        </w:rPr>
        <w:lastRenderedPageBreak/>
        <w:t xml:space="preserve">בדנ"פ ביטון קבע בית המשפט כי יש להותיר את הבחן הנורמטיבי - אובייקטיבי על כנו אך המליץ על הרפורמה הכללית בעבירות ההמתה שבמסגרתה תבחן גם הביקורת כלפי מבחן זה.  בית המשפט קבע מופרשות כי יש צורך חברתי חיוני בקיומה של אמת מידה אובייקטיבית, אך עם זאת ציין כי מיקומו של מבחן זה אינו צריך להיות כחלק מיסוד הכוונה תחילה וקרא למחוקק לשנות זאת. </w:t>
      </w:r>
    </w:p>
    <w:p w:rsidR="00B255A5" w:rsidRPr="00AE02AB" w:rsidRDefault="00B255A5" w:rsidP="00B255A5">
      <w:pPr>
        <w:spacing w:before="120" w:after="0" w:line="360" w:lineRule="auto"/>
        <w:jc w:val="both"/>
        <w:rPr>
          <w:rFonts w:ascii="David" w:hAnsi="David" w:cs="David"/>
          <w:sz w:val="24"/>
          <w:szCs w:val="24"/>
          <w:rtl/>
        </w:rPr>
      </w:pPr>
      <w:r>
        <w:rPr>
          <w:rFonts w:cs="David" w:hint="cs"/>
          <w:sz w:val="24"/>
          <w:szCs w:val="24"/>
          <w:rtl/>
        </w:rPr>
        <w:t xml:space="preserve">עוד קבע הנשיא ברק בעניין ביטון כי ראוי שהמבחן האובייקטיבי יתחשב בנתונים סובייקטיביים של הממית אך סבר שלא ניתן לעשות זאת על דרך הפרשנות הפסיקתית, אלא בחקיקה.  עוד קבע כי אמות המידה לסובייקטיביזציה </w:t>
      </w:r>
      <w:r w:rsidRPr="003D1951">
        <w:rPr>
          <w:rFonts w:cs="David" w:hint="cs"/>
          <w:sz w:val="24"/>
          <w:szCs w:val="24"/>
          <w:rtl/>
        </w:rPr>
        <w:t>של השיקול האובייקטיבי צריך להיעשות ע"י המחוק</w:t>
      </w:r>
      <w:r w:rsidRPr="003D1951">
        <w:rPr>
          <w:rFonts w:ascii="David" w:hAnsi="David" w:cs="David"/>
          <w:sz w:val="24"/>
          <w:szCs w:val="24"/>
          <w:rtl/>
        </w:rPr>
        <w:t xml:space="preserve">ק. </w:t>
      </w:r>
      <w:r w:rsidRPr="003D1951">
        <w:rPr>
          <w:rFonts w:ascii="David" w:hAnsi="David" w:cs="David" w:hint="cs"/>
          <w:sz w:val="24"/>
          <w:szCs w:val="24"/>
          <w:rtl/>
        </w:rPr>
        <w:t xml:space="preserve">לעניין זה, הביעה </w:t>
      </w:r>
      <w:r w:rsidRPr="003D1951">
        <w:rPr>
          <w:rFonts w:ascii="David" w:hAnsi="David" w:cs="David"/>
          <w:sz w:val="24"/>
          <w:szCs w:val="24"/>
          <w:rtl/>
        </w:rPr>
        <w:t xml:space="preserve">הנשיאה בייניש </w:t>
      </w:r>
      <w:r w:rsidRPr="003D1951">
        <w:rPr>
          <w:rFonts w:ascii="David" w:hAnsi="David" w:cs="David" w:hint="cs"/>
          <w:sz w:val="24"/>
          <w:szCs w:val="24"/>
          <w:rtl/>
        </w:rPr>
        <w:t xml:space="preserve">הביעה עמדה כי יש </w:t>
      </w:r>
      <w:r w:rsidRPr="003D1951">
        <w:rPr>
          <w:rFonts w:ascii="David" w:hAnsi="David" w:cs="David"/>
          <w:sz w:val="24"/>
          <w:szCs w:val="24"/>
          <w:rtl/>
        </w:rPr>
        <w:t xml:space="preserve">להיזהר מסובייקטיביזציית-יתר של הפסיקה, לפי דרכו של כל שופט. בהתחשב בערך החברתי המוגן ע"י השיקול האובייקטיבי, </w:t>
      </w:r>
      <w:r w:rsidRPr="003D1951">
        <w:rPr>
          <w:rFonts w:ascii="David" w:hAnsi="David" w:cs="David" w:hint="cs"/>
          <w:sz w:val="24"/>
          <w:szCs w:val="24"/>
          <w:rtl/>
        </w:rPr>
        <w:t xml:space="preserve">יש </w:t>
      </w:r>
      <w:r w:rsidRPr="003D1951">
        <w:rPr>
          <w:rFonts w:ascii="David" w:hAnsi="David" w:cs="David"/>
          <w:sz w:val="24"/>
          <w:szCs w:val="24"/>
          <w:rtl/>
        </w:rPr>
        <w:t xml:space="preserve"> לקיים את הריסון השיפוטי ולשמור על יציבות ההלכה</w:t>
      </w:r>
      <w:r>
        <w:rPr>
          <w:rStyle w:val="a7"/>
          <w:rFonts w:ascii="David" w:hAnsi="David" w:cs="David"/>
          <w:sz w:val="24"/>
          <w:szCs w:val="24"/>
          <w:rtl/>
        </w:rPr>
        <w:footnoteReference w:id="23"/>
      </w:r>
      <w:r w:rsidRPr="003D1951">
        <w:rPr>
          <w:rFonts w:ascii="David" w:hAnsi="David" w:cs="David" w:hint="cs"/>
          <w:sz w:val="24"/>
          <w:szCs w:val="24"/>
          <w:rtl/>
        </w:rPr>
        <w:t>.</w:t>
      </w:r>
    </w:p>
    <w:p w:rsidR="00B255A5" w:rsidRDefault="00B255A5" w:rsidP="00B255A5">
      <w:pPr>
        <w:spacing w:before="120" w:after="0" w:line="360" w:lineRule="auto"/>
        <w:jc w:val="both"/>
        <w:rPr>
          <w:rFonts w:cs="David"/>
          <w:sz w:val="24"/>
          <w:szCs w:val="24"/>
          <w:rtl/>
        </w:rPr>
      </w:pPr>
    </w:p>
    <w:p w:rsidR="00B255A5" w:rsidRDefault="00B255A5" w:rsidP="00B255A5">
      <w:pPr>
        <w:pStyle w:val="BODYVERDICT"/>
        <w:spacing w:line="360" w:lineRule="auto"/>
        <w:jc w:val="both"/>
        <w:rPr>
          <w:rFonts w:cs="Miriam"/>
          <w:spacing w:val="0"/>
          <w:sz w:val="24"/>
          <w:szCs w:val="24"/>
          <w:rtl/>
        </w:rPr>
      </w:pPr>
    </w:p>
    <w:p w:rsidR="00B255A5" w:rsidRPr="00B75449" w:rsidRDefault="00B255A5" w:rsidP="00B255A5">
      <w:pPr>
        <w:pStyle w:val="BODYVERDICT"/>
        <w:spacing w:line="360" w:lineRule="auto"/>
        <w:jc w:val="both"/>
        <w:rPr>
          <w:rFonts w:ascii="David" w:hAnsi="David" w:cs="David"/>
          <w:b/>
          <w:bCs/>
          <w:rtl/>
        </w:rPr>
      </w:pPr>
      <w:r w:rsidRPr="00B75449">
        <w:rPr>
          <w:rFonts w:ascii="David" w:hAnsi="David" w:cs="David"/>
          <w:b/>
          <w:bCs/>
          <w:spacing w:val="0"/>
          <w:sz w:val="24"/>
          <w:szCs w:val="24"/>
          <w:rtl/>
        </w:rPr>
        <w:t>קנטור מתמשך</w:t>
      </w:r>
    </w:p>
    <w:p w:rsidR="00B255A5" w:rsidRDefault="00B255A5" w:rsidP="00B255A5">
      <w:pPr>
        <w:spacing w:before="120" w:after="0" w:line="360" w:lineRule="auto"/>
        <w:rPr>
          <w:rFonts w:cs="David"/>
          <w:sz w:val="24"/>
          <w:szCs w:val="24"/>
          <w:rtl/>
        </w:rPr>
      </w:pPr>
      <w:r>
        <w:rPr>
          <w:rFonts w:cs="David" w:hint="cs"/>
          <w:sz w:val="24"/>
          <w:szCs w:val="24"/>
          <w:rtl/>
        </w:rPr>
        <w:t xml:space="preserve">בית המשפט הכיר באפשרות להרחבה של יסוד הקנטור והכרה בקנטור מתמשך, </w:t>
      </w:r>
      <w:r w:rsidRPr="0096152B">
        <w:rPr>
          <w:rFonts w:cs="David" w:hint="cs"/>
          <w:sz w:val="24"/>
          <w:szCs w:val="24"/>
          <w:rtl/>
        </w:rPr>
        <w:t>ובלבד שהיה טריגר כלשהו בתכוף לפני מעשה ההמתה</w:t>
      </w:r>
      <w:r w:rsidRPr="0096152B">
        <w:rPr>
          <w:rStyle w:val="a7"/>
          <w:rFonts w:cs="David"/>
          <w:sz w:val="24"/>
          <w:szCs w:val="24"/>
          <w:rtl/>
        </w:rPr>
        <w:footnoteReference w:id="24"/>
      </w:r>
      <w:r w:rsidRPr="0096152B">
        <w:rPr>
          <w:rFonts w:cs="David" w:hint="cs"/>
          <w:sz w:val="24"/>
          <w:szCs w:val="24"/>
          <w:rtl/>
        </w:rPr>
        <w:t>.</w:t>
      </w:r>
      <w:r>
        <w:rPr>
          <w:rFonts w:cs="David" w:hint="cs"/>
          <w:sz w:val="24"/>
          <w:szCs w:val="24"/>
          <w:rtl/>
        </w:rPr>
        <w:t xml:space="preserve">  </w:t>
      </w:r>
    </w:p>
    <w:p w:rsidR="00B255A5" w:rsidRDefault="00B255A5" w:rsidP="00B255A5">
      <w:pPr>
        <w:spacing w:before="120" w:after="0" w:line="360" w:lineRule="auto"/>
        <w:rPr>
          <w:rFonts w:cs="David"/>
          <w:sz w:val="24"/>
          <w:szCs w:val="24"/>
          <w:rtl/>
        </w:rPr>
      </w:pPr>
      <w:r>
        <w:rPr>
          <w:rFonts w:cs="David" w:hint="cs"/>
          <w:sz w:val="24"/>
          <w:szCs w:val="24"/>
          <w:rtl/>
        </w:rPr>
        <w:t>כך למשל קבע בית המשפט בפרשת גרשוני</w:t>
      </w:r>
      <w:r>
        <w:rPr>
          <w:rStyle w:val="a7"/>
          <w:rFonts w:cs="David"/>
          <w:sz w:val="24"/>
          <w:szCs w:val="24"/>
          <w:rtl/>
        </w:rPr>
        <w:footnoteReference w:id="25"/>
      </w:r>
      <w:r>
        <w:rPr>
          <w:rFonts w:cs="David" w:hint="cs"/>
          <w:sz w:val="24"/>
          <w:szCs w:val="24"/>
          <w:rtl/>
        </w:rPr>
        <w:t>:</w:t>
      </w:r>
    </w:p>
    <w:p w:rsidR="00B255A5" w:rsidRDefault="00B255A5" w:rsidP="00B255A5">
      <w:pPr>
        <w:spacing w:before="120" w:after="0" w:line="360" w:lineRule="auto"/>
        <w:ind w:left="567" w:right="567"/>
        <w:jc w:val="both"/>
        <w:rPr>
          <w:rFonts w:cs="FrankRuehl"/>
          <w:sz w:val="28"/>
          <w:szCs w:val="28"/>
          <w:rtl/>
        </w:rPr>
      </w:pPr>
      <w:r w:rsidRPr="00BD3200">
        <w:rPr>
          <w:rFonts w:ascii="David" w:hAnsi="David" w:cs="David" w:hint="cs"/>
          <w:b/>
          <w:bCs/>
          <w:sz w:val="24"/>
          <w:szCs w:val="24"/>
          <w:rtl/>
        </w:rPr>
        <w:t>"</w:t>
      </w:r>
      <w:r>
        <w:rPr>
          <w:rFonts w:ascii="David" w:hAnsi="David" w:cs="David" w:hint="cs"/>
          <w:b/>
          <w:bCs/>
          <w:sz w:val="24"/>
          <w:szCs w:val="24"/>
          <w:rtl/>
        </w:rPr>
        <w:t>....</w:t>
      </w:r>
      <w:r w:rsidRPr="00BD3200">
        <w:rPr>
          <w:rFonts w:ascii="David" w:hAnsi="David" w:cs="David"/>
          <w:b/>
          <w:bCs/>
          <w:sz w:val="24"/>
          <w:szCs w:val="24"/>
          <w:rtl/>
        </w:rPr>
        <w:t xml:space="preserve"> התגרות במובן סעיף 301 ל</w:t>
      </w:r>
      <w:hyperlink r:id="rId10" w:history="1">
        <w:r w:rsidRPr="00BD3200">
          <w:rPr>
            <w:rFonts w:ascii="David" w:hAnsi="David" w:cs="David"/>
            <w:b/>
            <w:bCs/>
            <w:sz w:val="24"/>
            <w:szCs w:val="24"/>
            <w:rtl/>
          </w:rPr>
          <w:t>חוק העונשין</w:t>
        </w:r>
      </w:hyperlink>
      <w:r w:rsidRPr="00BD3200">
        <w:rPr>
          <w:rFonts w:ascii="David" w:hAnsi="David" w:cs="David"/>
          <w:b/>
          <w:bCs/>
          <w:sz w:val="24"/>
          <w:szCs w:val="24"/>
          <w:rtl/>
        </w:rPr>
        <w:t xml:space="preserve"> יכולה להתקיים גם כשהיא מורכבת משורה של אירועים בודדים שנפרסו על פני זמן רב, ושגרמו למערער צער ותסכול מצטברים. אולם, גם במקרה זה נדרש כי יוכח שעובר להמתה, התרחש אירוע נוסף שגרם לפריצתם של הסכרים ולאובדן עשתונותיו של המערער, ואלה גרמו לו להמית את קורבנו</w:t>
      </w:r>
      <w:r w:rsidRPr="00BD3200">
        <w:rPr>
          <w:rFonts w:ascii="David" w:hAnsi="David" w:cs="David" w:hint="cs"/>
          <w:b/>
          <w:bCs/>
          <w:sz w:val="24"/>
          <w:szCs w:val="24"/>
          <w:rtl/>
        </w:rPr>
        <w:t>"</w:t>
      </w:r>
      <w:r>
        <w:rPr>
          <w:rFonts w:cs="FrankRuehl" w:hint="cs"/>
          <w:sz w:val="28"/>
          <w:szCs w:val="28"/>
          <w:rtl/>
        </w:rPr>
        <w:t>.</w:t>
      </w:r>
    </w:p>
    <w:p w:rsidR="00B255A5" w:rsidRPr="00BD3200" w:rsidRDefault="00B255A5" w:rsidP="00B255A5">
      <w:pPr>
        <w:spacing w:before="120" w:after="0" w:line="360" w:lineRule="auto"/>
        <w:jc w:val="both"/>
        <w:rPr>
          <w:rFonts w:cs="David"/>
          <w:sz w:val="24"/>
          <w:szCs w:val="24"/>
          <w:rtl/>
        </w:rPr>
      </w:pPr>
      <w:r>
        <w:rPr>
          <w:rFonts w:cs="David" w:hint="cs"/>
          <w:sz w:val="24"/>
          <w:szCs w:val="24"/>
          <w:rtl/>
        </w:rPr>
        <w:t>הפסיקה קבעה כי ה</w:t>
      </w:r>
      <w:r w:rsidRPr="00BD3200">
        <w:rPr>
          <w:rFonts w:cs="David" w:hint="cs"/>
          <w:sz w:val="24"/>
          <w:szCs w:val="24"/>
          <w:rtl/>
        </w:rPr>
        <w:t>כרה בטענת "קנטור מתמשך" כפופה לשני תנאים מצטברים</w:t>
      </w:r>
      <w:r>
        <w:rPr>
          <w:rStyle w:val="a7"/>
          <w:rFonts w:cs="David"/>
          <w:sz w:val="24"/>
          <w:szCs w:val="24"/>
          <w:rtl/>
        </w:rPr>
        <w:footnoteReference w:id="26"/>
      </w:r>
      <w:r w:rsidRPr="00BD3200">
        <w:rPr>
          <w:rFonts w:cs="David" w:hint="cs"/>
          <w:sz w:val="24"/>
          <w:szCs w:val="24"/>
          <w:rtl/>
        </w:rPr>
        <w:t xml:space="preserve">: </w:t>
      </w:r>
    </w:p>
    <w:p w:rsidR="00B255A5" w:rsidRPr="00854227" w:rsidRDefault="00B255A5" w:rsidP="00B255A5">
      <w:pPr>
        <w:spacing w:before="120" w:after="0" w:line="360" w:lineRule="auto"/>
        <w:ind w:left="567" w:right="567"/>
        <w:jc w:val="both"/>
        <w:rPr>
          <w:rFonts w:ascii="David" w:hAnsi="David" w:cs="David"/>
          <w:b/>
          <w:bCs/>
          <w:sz w:val="24"/>
          <w:szCs w:val="24"/>
          <w:rtl/>
        </w:rPr>
      </w:pPr>
      <w:r w:rsidRPr="00854227">
        <w:rPr>
          <w:rFonts w:ascii="David" w:hAnsi="David" w:cs="David" w:hint="cs"/>
          <w:b/>
          <w:bCs/>
          <w:sz w:val="24"/>
          <w:szCs w:val="24"/>
          <w:rtl/>
        </w:rPr>
        <w:t xml:space="preserve"> </w:t>
      </w:r>
      <w:r>
        <w:rPr>
          <w:rFonts w:ascii="David" w:hAnsi="David" w:cs="David" w:hint="cs"/>
          <w:b/>
          <w:bCs/>
          <w:sz w:val="24"/>
          <w:szCs w:val="24"/>
          <w:rtl/>
        </w:rPr>
        <w:t>"</w:t>
      </w:r>
      <w:r w:rsidRPr="00854227">
        <w:rPr>
          <w:rFonts w:ascii="David" w:hAnsi="David" w:cs="David" w:hint="cs"/>
          <w:b/>
          <w:bCs/>
          <w:sz w:val="24"/>
          <w:szCs w:val="24"/>
          <w:rtl/>
        </w:rPr>
        <w:t>(א)     ההחלטה להרוג לא התגבשה בליבו של הנאשם כבר לפני כן.</w:t>
      </w:r>
    </w:p>
    <w:p w:rsidR="00B255A5" w:rsidRPr="00854227" w:rsidRDefault="00B255A5" w:rsidP="00B255A5">
      <w:pPr>
        <w:spacing w:before="120" w:after="0" w:line="360" w:lineRule="auto"/>
        <w:ind w:left="567" w:right="567"/>
        <w:jc w:val="both"/>
        <w:rPr>
          <w:rFonts w:ascii="David" w:hAnsi="David" w:cs="David"/>
          <w:b/>
          <w:bCs/>
          <w:sz w:val="24"/>
          <w:szCs w:val="24"/>
          <w:rtl/>
        </w:rPr>
      </w:pPr>
      <w:r w:rsidRPr="00854227">
        <w:rPr>
          <w:rFonts w:ascii="David" w:hAnsi="David" w:cs="David" w:hint="cs"/>
          <w:b/>
          <w:bCs/>
          <w:sz w:val="24"/>
          <w:szCs w:val="24"/>
          <w:rtl/>
        </w:rPr>
        <w:t xml:space="preserve"> (ב)     בתכוף לפני המעשה אירע קנטור נוסף, שהוא בעל מעמד וכוח עצמאיים (המכונה לעיתים: "טריגר")...."</w:t>
      </w:r>
      <w:r>
        <w:rPr>
          <w:rFonts w:ascii="David" w:hAnsi="David" w:cs="David" w:hint="cs"/>
          <w:b/>
          <w:bCs/>
          <w:sz w:val="24"/>
          <w:szCs w:val="24"/>
          <w:rtl/>
        </w:rPr>
        <w:t>.</w:t>
      </w:r>
    </w:p>
    <w:p w:rsidR="00B255A5" w:rsidRDefault="00B255A5" w:rsidP="00B255A5">
      <w:pPr>
        <w:spacing w:before="120" w:after="0" w:line="360" w:lineRule="auto"/>
        <w:jc w:val="both"/>
        <w:rPr>
          <w:rFonts w:cs="David"/>
          <w:sz w:val="24"/>
          <w:szCs w:val="24"/>
          <w:rtl/>
        </w:rPr>
      </w:pPr>
      <w:r>
        <w:rPr>
          <w:rFonts w:cs="David" w:hint="cs"/>
          <w:sz w:val="24"/>
          <w:szCs w:val="24"/>
          <w:rtl/>
        </w:rPr>
        <w:t xml:space="preserve">בעניין היילו הכיר בית המשפט בקנטור מתמשך כשולל את הכוונה תחילה כאשר מספר פעמים בתקופה שקדמה להמתה ביצע המנוח עבירות מין בממית, למרות שלא היה ניתן להכיר בהתגרות שהייתה בתכוף לפני המעשה כקנטור העומד בפני עצמו. </w:t>
      </w:r>
    </w:p>
    <w:p w:rsidR="00B255A5" w:rsidRDefault="00B255A5" w:rsidP="00627131">
      <w:pPr>
        <w:spacing w:before="120" w:after="0" w:line="360" w:lineRule="auto"/>
        <w:jc w:val="both"/>
        <w:rPr>
          <w:rFonts w:cs="David"/>
          <w:sz w:val="24"/>
          <w:szCs w:val="24"/>
          <w:rtl/>
        </w:rPr>
      </w:pPr>
      <w:r>
        <w:rPr>
          <w:rFonts w:cs="David" w:hint="cs"/>
          <w:sz w:val="24"/>
          <w:szCs w:val="24"/>
          <w:rtl/>
        </w:rPr>
        <w:t>(</w:t>
      </w:r>
      <w:r w:rsidRPr="00405F92">
        <w:rPr>
          <w:rFonts w:cs="David" w:hint="cs"/>
          <w:sz w:val="24"/>
          <w:szCs w:val="24"/>
          <w:rtl/>
        </w:rPr>
        <w:t>יוער כי יתכן שבית המשפט בעניין היילו הלך בדרך זו כדי להימנע מהרשעת הנאשם בעבירת הרצח, שכן לפי החוק הקיים, בשונה מהמוצע, התעללות קודמת של המנוח בממית יכולה להביא לעונש מופחת</w:t>
      </w:r>
      <w:r>
        <w:rPr>
          <w:rFonts w:cs="David" w:hint="cs"/>
          <w:sz w:val="24"/>
          <w:szCs w:val="24"/>
          <w:rtl/>
        </w:rPr>
        <w:t>,</w:t>
      </w:r>
      <w:r w:rsidRPr="00405F92">
        <w:rPr>
          <w:rFonts w:cs="David" w:hint="cs"/>
          <w:sz w:val="24"/>
          <w:szCs w:val="24"/>
          <w:rtl/>
        </w:rPr>
        <w:t xml:space="preserve"> אך לא לאחריות מופחתת. כפי שמשתמע </w:t>
      </w:r>
      <w:r>
        <w:rPr>
          <w:rFonts w:cs="David" w:hint="cs"/>
          <w:sz w:val="24"/>
          <w:szCs w:val="24"/>
          <w:rtl/>
        </w:rPr>
        <w:t>מ</w:t>
      </w:r>
      <w:r w:rsidRPr="00405F92">
        <w:rPr>
          <w:rFonts w:cs="David" w:hint="cs"/>
          <w:sz w:val="24"/>
          <w:szCs w:val="24"/>
          <w:rtl/>
        </w:rPr>
        <w:t xml:space="preserve">פסק דינה של השופטת ברק ארז, יתכן כי בית </w:t>
      </w:r>
      <w:r w:rsidRPr="00405F92">
        <w:rPr>
          <w:rFonts w:cs="David" w:hint="cs"/>
          <w:sz w:val="24"/>
          <w:szCs w:val="24"/>
          <w:rtl/>
        </w:rPr>
        <w:lastRenderedPageBreak/>
        <w:t>המשפט לא היה מאמץ בעניין זה את הקנטור המתמשך אם גם בעקבות התעללות ניתן היה להרשיע באחריות מופחתת ולא ברצח</w:t>
      </w:r>
      <w:r w:rsidR="00627131">
        <w:rPr>
          <w:rStyle w:val="a7"/>
          <w:rFonts w:cs="David"/>
          <w:sz w:val="24"/>
          <w:szCs w:val="24"/>
          <w:rtl/>
        </w:rPr>
        <w:footnoteReference w:id="27"/>
      </w:r>
      <w:r>
        <w:rPr>
          <w:rFonts w:cs="David" w:hint="cs"/>
          <w:sz w:val="24"/>
          <w:szCs w:val="24"/>
          <w:rtl/>
        </w:rPr>
        <w:t>)</w:t>
      </w:r>
      <w:r w:rsidRPr="00405F92">
        <w:rPr>
          <w:rFonts w:cs="David" w:hint="cs"/>
          <w:sz w:val="24"/>
          <w:szCs w:val="24"/>
          <w:rtl/>
        </w:rPr>
        <w:t>.</w:t>
      </w:r>
    </w:p>
    <w:p w:rsidR="00B255A5" w:rsidRDefault="00B255A5" w:rsidP="00B255A5">
      <w:pPr>
        <w:spacing w:before="120" w:after="0" w:line="360" w:lineRule="auto"/>
        <w:jc w:val="both"/>
        <w:rPr>
          <w:rFonts w:ascii="David" w:hAnsi="David" w:cs="David"/>
          <w:sz w:val="24"/>
          <w:szCs w:val="24"/>
          <w:rtl/>
        </w:rPr>
      </w:pPr>
    </w:p>
    <w:p w:rsidR="00B255A5" w:rsidRPr="00895FA6" w:rsidRDefault="00B255A5" w:rsidP="00B255A5">
      <w:pPr>
        <w:spacing w:before="120" w:after="0" w:line="360" w:lineRule="auto"/>
        <w:jc w:val="both"/>
        <w:rPr>
          <w:rFonts w:ascii="David" w:hAnsi="David" w:cs="David"/>
          <w:b/>
          <w:bCs/>
          <w:sz w:val="24"/>
          <w:szCs w:val="24"/>
          <w:rtl/>
        </w:rPr>
      </w:pPr>
      <w:r w:rsidRPr="00895FA6">
        <w:rPr>
          <w:rFonts w:ascii="David" w:hAnsi="David" w:cs="David" w:hint="cs"/>
          <w:b/>
          <w:bCs/>
          <w:sz w:val="24"/>
          <w:szCs w:val="24"/>
          <w:rtl/>
        </w:rPr>
        <w:t>הצעת החוק</w:t>
      </w:r>
      <w:r>
        <w:rPr>
          <w:rFonts w:ascii="David" w:hAnsi="David" w:cs="David" w:hint="cs"/>
          <w:b/>
          <w:bCs/>
          <w:sz w:val="24"/>
          <w:szCs w:val="24"/>
          <w:rtl/>
        </w:rPr>
        <w:t xml:space="preserve"> לעניין קנטור</w:t>
      </w:r>
    </w:p>
    <w:p w:rsidR="00B255A5" w:rsidRDefault="00B255A5" w:rsidP="00B255A5">
      <w:pPr>
        <w:spacing w:before="120" w:after="0" w:line="360" w:lineRule="auto"/>
        <w:jc w:val="both"/>
        <w:rPr>
          <w:rFonts w:ascii="David" w:hAnsi="David" w:cs="David"/>
          <w:sz w:val="24"/>
          <w:szCs w:val="24"/>
          <w:rtl/>
        </w:rPr>
      </w:pPr>
      <w:r>
        <w:rPr>
          <w:rFonts w:ascii="David" w:hAnsi="David" w:cs="David" w:hint="cs"/>
          <w:sz w:val="24"/>
          <w:szCs w:val="24"/>
          <w:rtl/>
        </w:rPr>
        <w:t>הצעת החוק מבקשת לזנוח את מבחן הכוונה תחילה ולקבוע מדרג אחר ובו תקבע עבירת רצח ועבירת רצח בנסיבות מחמירות, אשר היסוד הנפשי בהן הוא של אדישות או כוונה (על נושא זה דנו ממושכות בוועדה וגם הרחבנו במסמכים הקודמים). ואולם, מוצע כאמור, לקבוע את קיומה של ההתגרות (הקנטור) כנסיבה</w:t>
      </w:r>
      <w:r>
        <w:rPr>
          <w:rFonts w:ascii="David" w:hAnsi="David" w:cs="David"/>
          <w:sz w:val="24"/>
          <w:szCs w:val="24"/>
        </w:rPr>
        <w:t xml:space="preserve"> </w:t>
      </w:r>
      <w:r>
        <w:rPr>
          <w:rFonts w:ascii="David" w:hAnsi="David" w:cs="David" w:hint="cs"/>
          <w:sz w:val="24"/>
          <w:szCs w:val="24"/>
          <w:rtl/>
        </w:rPr>
        <w:t>של אחריות מפוחתת, בנוסח שלהלן:</w:t>
      </w:r>
    </w:p>
    <w:tbl>
      <w:tblPr>
        <w:tblStyle w:val="a3"/>
        <w:bidiVisual/>
        <w:tblW w:w="0" w:type="auto"/>
        <w:tblLook w:val="04A0" w:firstRow="1" w:lastRow="0" w:firstColumn="1" w:lastColumn="0" w:noHBand="0" w:noVBand="1"/>
      </w:tblPr>
      <w:tblGrid>
        <w:gridCol w:w="8296"/>
      </w:tblGrid>
      <w:tr w:rsidR="00B255A5" w:rsidTr="0088588B">
        <w:tc>
          <w:tcPr>
            <w:tcW w:w="8296" w:type="dxa"/>
          </w:tcPr>
          <w:p w:rsidR="00B255A5" w:rsidRPr="00194267" w:rsidRDefault="00B255A5" w:rsidP="0088588B">
            <w:pPr>
              <w:pStyle w:val="TableBlock"/>
              <w:rPr>
                <w:szCs w:val="24"/>
                <w:rtl/>
              </w:rPr>
            </w:pPr>
            <w:r w:rsidRPr="00194267">
              <w:rPr>
                <w:szCs w:val="24"/>
                <w:rtl/>
              </w:rPr>
              <w:t>(1)</w:t>
            </w:r>
            <w:r w:rsidRPr="00194267">
              <w:rPr>
                <w:szCs w:val="24"/>
                <w:rtl/>
              </w:rPr>
              <w:tab/>
            </w:r>
            <w:r w:rsidRPr="00194267">
              <w:rPr>
                <w:rFonts w:hint="eastAsia"/>
                <w:rtl/>
              </w:rPr>
              <w:t>המעשה</w:t>
            </w:r>
            <w:r w:rsidRPr="00194267">
              <w:rPr>
                <w:szCs w:val="24"/>
                <w:rtl/>
              </w:rPr>
              <w:t xml:space="preserve"> </w:t>
            </w:r>
            <w:r w:rsidRPr="00194267">
              <w:rPr>
                <w:rFonts w:hint="eastAsia"/>
                <w:rtl/>
              </w:rPr>
              <w:t>בוצע</w:t>
            </w:r>
            <w:r w:rsidRPr="00194267">
              <w:rPr>
                <w:szCs w:val="24"/>
                <w:rtl/>
              </w:rPr>
              <w:t xml:space="preserve"> </w:t>
            </w:r>
            <w:r w:rsidRPr="00194267">
              <w:rPr>
                <w:rFonts w:hint="eastAsia"/>
                <w:rtl/>
              </w:rPr>
              <w:t>בתכוף</w:t>
            </w:r>
            <w:r w:rsidRPr="00194267">
              <w:rPr>
                <w:szCs w:val="24"/>
                <w:rtl/>
              </w:rPr>
              <w:t xml:space="preserve"> </w:t>
            </w:r>
            <w:r w:rsidRPr="00194267">
              <w:rPr>
                <w:rFonts w:hint="eastAsia"/>
                <w:rtl/>
              </w:rPr>
              <w:t>לאחר</w:t>
            </w:r>
            <w:r w:rsidRPr="00194267">
              <w:rPr>
                <w:szCs w:val="24"/>
                <w:rtl/>
              </w:rPr>
              <w:t xml:space="preserve"> </w:t>
            </w:r>
            <w:r w:rsidRPr="00194267">
              <w:rPr>
                <w:rFonts w:hint="eastAsia"/>
                <w:rtl/>
              </w:rPr>
              <w:t>התגרות</w:t>
            </w:r>
            <w:r w:rsidRPr="00194267">
              <w:rPr>
                <w:szCs w:val="24"/>
                <w:rtl/>
              </w:rPr>
              <w:t xml:space="preserve"> </w:t>
            </w:r>
            <w:r w:rsidRPr="00194267">
              <w:rPr>
                <w:rFonts w:hint="eastAsia"/>
                <w:rtl/>
              </w:rPr>
              <w:t>כלפי</w:t>
            </w:r>
            <w:r w:rsidRPr="00194267">
              <w:rPr>
                <w:szCs w:val="24"/>
                <w:rtl/>
              </w:rPr>
              <w:t xml:space="preserve"> </w:t>
            </w:r>
            <w:r w:rsidRPr="00194267">
              <w:rPr>
                <w:rFonts w:hint="eastAsia"/>
                <w:rtl/>
              </w:rPr>
              <w:t>הנאשם</w:t>
            </w:r>
            <w:r w:rsidRPr="00194267">
              <w:rPr>
                <w:szCs w:val="24"/>
                <w:rtl/>
              </w:rPr>
              <w:t xml:space="preserve"> </w:t>
            </w:r>
            <w:r w:rsidRPr="00194267">
              <w:rPr>
                <w:rFonts w:hint="eastAsia"/>
                <w:rtl/>
              </w:rPr>
              <w:t>ובתגובה</w:t>
            </w:r>
            <w:r w:rsidRPr="00194267">
              <w:rPr>
                <w:szCs w:val="24"/>
                <w:rtl/>
              </w:rPr>
              <w:t xml:space="preserve"> </w:t>
            </w:r>
            <w:r w:rsidRPr="00194267">
              <w:rPr>
                <w:rFonts w:hint="eastAsia"/>
                <w:rtl/>
              </w:rPr>
              <w:t>לאותה</w:t>
            </w:r>
            <w:r w:rsidRPr="00194267">
              <w:rPr>
                <w:szCs w:val="24"/>
                <w:rtl/>
              </w:rPr>
              <w:t xml:space="preserve"> </w:t>
            </w:r>
            <w:r w:rsidRPr="00194267">
              <w:rPr>
                <w:rFonts w:hint="eastAsia"/>
                <w:rtl/>
              </w:rPr>
              <w:t>התגרות</w:t>
            </w:r>
            <w:r w:rsidRPr="00194267">
              <w:rPr>
                <w:szCs w:val="24"/>
                <w:rtl/>
              </w:rPr>
              <w:t xml:space="preserve">, </w:t>
            </w:r>
            <w:r w:rsidRPr="00194267">
              <w:rPr>
                <w:rFonts w:hint="eastAsia"/>
                <w:rtl/>
              </w:rPr>
              <w:t>ומתקיימים</w:t>
            </w:r>
            <w:r w:rsidRPr="00194267">
              <w:rPr>
                <w:szCs w:val="24"/>
                <w:rtl/>
              </w:rPr>
              <w:t xml:space="preserve"> </w:t>
            </w:r>
            <w:r w:rsidRPr="00194267">
              <w:rPr>
                <w:rFonts w:hint="eastAsia"/>
                <w:rtl/>
              </w:rPr>
              <w:t>שניים</w:t>
            </w:r>
            <w:r w:rsidRPr="00194267">
              <w:rPr>
                <w:szCs w:val="24"/>
                <w:rtl/>
              </w:rPr>
              <w:t xml:space="preserve"> </w:t>
            </w:r>
            <w:r w:rsidRPr="00194267">
              <w:rPr>
                <w:rFonts w:hint="eastAsia"/>
                <w:rtl/>
              </w:rPr>
              <w:t>אלה</w:t>
            </w:r>
            <w:r w:rsidRPr="00194267">
              <w:rPr>
                <w:szCs w:val="24"/>
                <w:rtl/>
              </w:rPr>
              <w:t>:</w:t>
            </w:r>
          </w:p>
          <w:p w:rsidR="00B255A5" w:rsidRPr="00194267" w:rsidRDefault="00B255A5" w:rsidP="0088588B">
            <w:pPr>
              <w:pStyle w:val="TableBlock"/>
              <w:ind w:left="624"/>
              <w:rPr>
                <w:szCs w:val="24"/>
                <w:rtl/>
              </w:rPr>
            </w:pPr>
            <w:r w:rsidRPr="00194267">
              <w:rPr>
                <w:szCs w:val="24"/>
                <w:rtl/>
              </w:rPr>
              <w:t>(</w:t>
            </w:r>
            <w:r w:rsidRPr="00194267">
              <w:rPr>
                <w:rFonts w:hint="eastAsia"/>
                <w:rtl/>
              </w:rPr>
              <w:t>א</w:t>
            </w:r>
            <w:r w:rsidRPr="00194267">
              <w:rPr>
                <w:szCs w:val="24"/>
                <w:rtl/>
              </w:rPr>
              <w:t>)</w:t>
            </w:r>
            <w:r w:rsidRPr="00194267">
              <w:rPr>
                <w:szCs w:val="24"/>
                <w:rtl/>
              </w:rPr>
              <w:tab/>
            </w:r>
            <w:r w:rsidRPr="00194267">
              <w:rPr>
                <w:rFonts w:hint="eastAsia"/>
                <w:rtl/>
              </w:rPr>
              <w:t>בעקבות</w:t>
            </w:r>
            <w:r w:rsidRPr="00194267">
              <w:rPr>
                <w:szCs w:val="24"/>
                <w:rtl/>
              </w:rPr>
              <w:t xml:space="preserve"> </w:t>
            </w:r>
            <w:r w:rsidRPr="00194267">
              <w:rPr>
                <w:rFonts w:hint="eastAsia"/>
                <w:rtl/>
              </w:rPr>
              <w:t>ההתגרות</w:t>
            </w:r>
            <w:r w:rsidRPr="00194267">
              <w:rPr>
                <w:szCs w:val="24"/>
                <w:rtl/>
              </w:rPr>
              <w:t xml:space="preserve"> </w:t>
            </w:r>
            <w:r w:rsidRPr="00194267">
              <w:rPr>
                <w:rFonts w:hint="eastAsia"/>
                <w:rtl/>
              </w:rPr>
              <w:t>הנאשם</w:t>
            </w:r>
            <w:r w:rsidRPr="00194267">
              <w:rPr>
                <w:szCs w:val="24"/>
                <w:rtl/>
              </w:rPr>
              <w:t xml:space="preserve"> </w:t>
            </w:r>
            <w:r w:rsidRPr="00194267">
              <w:rPr>
                <w:rFonts w:hint="eastAsia"/>
                <w:rtl/>
              </w:rPr>
              <w:t>התקשה</w:t>
            </w:r>
            <w:r w:rsidRPr="00194267">
              <w:rPr>
                <w:szCs w:val="24"/>
                <w:rtl/>
              </w:rPr>
              <w:t xml:space="preserve"> </w:t>
            </w:r>
            <w:r w:rsidRPr="00194267">
              <w:rPr>
                <w:rFonts w:hint="eastAsia"/>
                <w:rtl/>
              </w:rPr>
              <w:t>במידה</w:t>
            </w:r>
            <w:r w:rsidRPr="00194267">
              <w:rPr>
                <w:szCs w:val="24"/>
                <w:rtl/>
              </w:rPr>
              <w:t xml:space="preserve"> </w:t>
            </w:r>
            <w:r w:rsidRPr="00194267">
              <w:rPr>
                <w:rFonts w:hint="eastAsia"/>
                <w:rtl/>
              </w:rPr>
              <w:t>ניכרת</w:t>
            </w:r>
            <w:r w:rsidRPr="00194267">
              <w:rPr>
                <w:szCs w:val="24"/>
                <w:rtl/>
              </w:rPr>
              <w:t xml:space="preserve"> </w:t>
            </w:r>
            <w:r w:rsidRPr="00194267">
              <w:rPr>
                <w:rFonts w:hint="eastAsia"/>
                <w:rtl/>
              </w:rPr>
              <w:t>לשלוט</w:t>
            </w:r>
            <w:r w:rsidRPr="00194267">
              <w:rPr>
                <w:szCs w:val="24"/>
                <w:rtl/>
              </w:rPr>
              <w:t xml:space="preserve"> </w:t>
            </w:r>
            <w:r w:rsidRPr="00194267">
              <w:rPr>
                <w:rFonts w:hint="eastAsia"/>
                <w:rtl/>
              </w:rPr>
              <w:t>בעצמו</w:t>
            </w:r>
            <w:r w:rsidRPr="00194267">
              <w:rPr>
                <w:szCs w:val="24"/>
                <w:rtl/>
              </w:rPr>
              <w:t>;</w:t>
            </w:r>
          </w:p>
          <w:p w:rsidR="00B255A5" w:rsidRDefault="00B255A5" w:rsidP="0088588B">
            <w:pPr>
              <w:pStyle w:val="TableBlock"/>
              <w:ind w:left="624"/>
              <w:rPr>
                <w:rFonts w:ascii="David" w:hAnsi="David"/>
                <w:sz w:val="24"/>
                <w:szCs w:val="24"/>
                <w:rtl/>
              </w:rPr>
            </w:pPr>
            <w:r w:rsidRPr="00194267">
              <w:rPr>
                <w:szCs w:val="24"/>
                <w:rtl/>
              </w:rPr>
              <w:t>(</w:t>
            </w:r>
            <w:r w:rsidRPr="00194267">
              <w:rPr>
                <w:rFonts w:hint="eastAsia"/>
                <w:rtl/>
              </w:rPr>
              <w:t>ב</w:t>
            </w:r>
            <w:r w:rsidRPr="00194267">
              <w:rPr>
                <w:szCs w:val="24"/>
                <w:rtl/>
              </w:rPr>
              <w:t>)</w:t>
            </w:r>
            <w:r w:rsidRPr="00194267">
              <w:rPr>
                <w:szCs w:val="24"/>
                <w:rtl/>
              </w:rPr>
              <w:tab/>
            </w:r>
            <w:r w:rsidRPr="00194267">
              <w:rPr>
                <w:rFonts w:hint="eastAsia"/>
                <w:rtl/>
              </w:rPr>
              <w:t>יש</w:t>
            </w:r>
            <w:r w:rsidRPr="00194267">
              <w:rPr>
                <w:szCs w:val="24"/>
                <w:rtl/>
              </w:rPr>
              <w:t xml:space="preserve"> </w:t>
            </w:r>
            <w:r w:rsidRPr="00194267">
              <w:rPr>
                <w:rFonts w:hint="eastAsia"/>
                <w:rtl/>
              </w:rPr>
              <w:t>בקושי</w:t>
            </w:r>
            <w:r w:rsidRPr="00194267">
              <w:rPr>
                <w:szCs w:val="24"/>
                <w:rtl/>
              </w:rPr>
              <w:t xml:space="preserve"> </w:t>
            </w:r>
            <w:r w:rsidRPr="00194267">
              <w:rPr>
                <w:rFonts w:hint="eastAsia"/>
                <w:rtl/>
              </w:rPr>
              <w:t>האמור</w:t>
            </w:r>
            <w:r w:rsidRPr="00194267">
              <w:rPr>
                <w:szCs w:val="24"/>
                <w:rtl/>
              </w:rPr>
              <w:t xml:space="preserve"> </w:t>
            </w:r>
            <w:r w:rsidRPr="00194267">
              <w:rPr>
                <w:rFonts w:hint="eastAsia"/>
                <w:rtl/>
              </w:rPr>
              <w:t>בפסקה</w:t>
            </w:r>
            <w:r w:rsidRPr="00194267">
              <w:rPr>
                <w:szCs w:val="24"/>
                <w:rtl/>
              </w:rPr>
              <w:t xml:space="preserve"> (1) </w:t>
            </w:r>
            <w:r w:rsidRPr="00194267">
              <w:rPr>
                <w:rFonts w:hint="eastAsia"/>
                <w:rtl/>
              </w:rPr>
              <w:t>כדי</w:t>
            </w:r>
            <w:r w:rsidRPr="00194267">
              <w:rPr>
                <w:szCs w:val="24"/>
                <w:rtl/>
              </w:rPr>
              <w:t xml:space="preserve"> </w:t>
            </w:r>
            <w:r w:rsidRPr="00194267">
              <w:rPr>
                <w:rFonts w:hint="eastAsia"/>
                <w:rtl/>
              </w:rPr>
              <w:t>למתן</w:t>
            </w:r>
            <w:r w:rsidRPr="00194267">
              <w:rPr>
                <w:szCs w:val="24"/>
                <w:rtl/>
              </w:rPr>
              <w:t xml:space="preserve"> </w:t>
            </w:r>
            <w:r w:rsidRPr="00194267">
              <w:rPr>
                <w:rFonts w:hint="eastAsia"/>
                <w:rtl/>
              </w:rPr>
              <w:t>את</w:t>
            </w:r>
            <w:r w:rsidRPr="00194267">
              <w:rPr>
                <w:szCs w:val="24"/>
                <w:rtl/>
              </w:rPr>
              <w:t xml:space="preserve"> </w:t>
            </w:r>
            <w:r w:rsidRPr="00194267">
              <w:rPr>
                <w:rFonts w:hint="eastAsia"/>
                <w:rtl/>
              </w:rPr>
              <w:t>אשמתו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הנאשם</w:t>
            </w:r>
            <w:r w:rsidRPr="00194267">
              <w:rPr>
                <w:szCs w:val="24"/>
                <w:rtl/>
              </w:rPr>
              <w:t xml:space="preserve">, </w:t>
            </w:r>
            <w:r w:rsidRPr="00194267">
              <w:rPr>
                <w:rFonts w:hint="eastAsia"/>
                <w:rtl/>
              </w:rPr>
              <w:t>בשים</w:t>
            </w:r>
            <w:r w:rsidRPr="00194267">
              <w:rPr>
                <w:szCs w:val="24"/>
                <w:rtl/>
              </w:rPr>
              <w:t xml:space="preserve"> </w:t>
            </w:r>
            <w:r w:rsidRPr="00194267">
              <w:rPr>
                <w:rFonts w:hint="eastAsia"/>
                <w:rtl/>
              </w:rPr>
              <w:t>לב</w:t>
            </w:r>
            <w:r w:rsidRPr="00194267">
              <w:rPr>
                <w:szCs w:val="24"/>
                <w:rtl/>
              </w:rPr>
              <w:t xml:space="preserve"> </w:t>
            </w:r>
            <w:r w:rsidRPr="00194267">
              <w:rPr>
                <w:rFonts w:hint="eastAsia"/>
                <w:rtl/>
              </w:rPr>
              <w:t>למכלול</w:t>
            </w:r>
            <w:r w:rsidRPr="00194267">
              <w:rPr>
                <w:szCs w:val="24"/>
                <w:rtl/>
              </w:rPr>
              <w:t xml:space="preserve"> </w:t>
            </w:r>
            <w:r w:rsidRPr="00194267">
              <w:rPr>
                <w:rFonts w:hint="eastAsia"/>
                <w:rtl/>
              </w:rPr>
              <w:t>נסיבות</w:t>
            </w:r>
            <w:r w:rsidRPr="00194267">
              <w:rPr>
                <w:szCs w:val="24"/>
                <w:rtl/>
              </w:rPr>
              <w:t xml:space="preserve"> </w:t>
            </w:r>
            <w:r w:rsidRPr="00194267">
              <w:rPr>
                <w:rFonts w:hint="eastAsia"/>
                <w:rtl/>
              </w:rPr>
              <w:t>העניין</w:t>
            </w:r>
            <w:r w:rsidRPr="00194267">
              <w:rPr>
                <w:szCs w:val="24"/>
                <w:rtl/>
              </w:rPr>
              <w:t>;</w:t>
            </w:r>
          </w:p>
        </w:tc>
      </w:tr>
    </w:tbl>
    <w:p w:rsidR="00B255A5" w:rsidRDefault="00B255A5" w:rsidP="00B255A5">
      <w:pPr>
        <w:spacing w:before="120" w:after="0" w:line="360" w:lineRule="auto"/>
        <w:jc w:val="both"/>
        <w:rPr>
          <w:rFonts w:cs="David"/>
          <w:sz w:val="24"/>
          <w:szCs w:val="24"/>
          <w:rtl/>
        </w:rPr>
      </w:pPr>
      <w:r>
        <w:rPr>
          <w:rFonts w:ascii="David" w:hAnsi="David" w:cs="David" w:hint="cs"/>
          <w:sz w:val="24"/>
          <w:szCs w:val="24"/>
          <w:rtl/>
        </w:rPr>
        <w:t xml:space="preserve">הנוסח המוצע כולל את רכיב ההתגרות </w:t>
      </w:r>
      <w:r>
        <w:rPr>
          <w:rFonts w:ascii="David" w:hAnsi="David" w:cs="David"/>
          <w:sz w:val="24"/>
          <w:szCs w:val="24"/>
          <w:rtl/>
        </w:rPr>
        <w:t>–</w:t>
      </w:r>
      <w:r>
        <w:rPr>
          <w:rFonts w:ascii="David" w:hAnsi="David" w:cs="David" w:hint="cs"/>
          <w:sz w:val="24"/>
          <w:szCs w:val="24"/>
          <w:rtl/>
        </w:rPr>
        <w:t xml:space="preserve"> אשר על התוכן שיצקו לו בתי המשפט הרחבנו לעיל, </w:t>
      </w:r>
      <w:r>
        <w:rPr>
          <w:rFonts w:cs="David" w:hint="cs"/>
          <w:sz w:val="24"/>
          <w:szCs w:val="24"/>
          <w:rtl/>
        </w:rPr>
        <w:t xml:space="preserve">את היסוד הסובייקטיבי </w:t>
      </w:r>
      <w:r>
        <w:rPr>
          <w:rFonts w:cs="David"/>
          <w:sz w:val="24"/>
          <w:szCs w:val="24"/>
          <w:rtl/>
        </w:rPr>
        <w:t>–</w:t>
      </w:r>
      <w:r>
        <w:rPr>
          <w:rFonts w:cs="David" w:hint="cs"/>
          <w:sz w:val="24"/>
          <w:szCs w:val="24"/>
          <w:rtl/>
        </w:rPr>
        <w:t xml:space="preserve"> שהנאשם התקשה במידה ניכרת לשלוט בעצמו, ויסוד נורמטיבי </w:t>
      </w:r>
      <w:r>
        <w:rPr>
          <w:rFonts w:cs="David"/>
          <w:sz w:val="24"/>
          <w:szCs w:val="24"/>
          <w:rtl/>
        </w:rPr>
        <w:t>–</w:t>
      </w:r>
      <w:r>
        <w:rPr>
          <w:rFonts w:cs="David" w:hint="cs"/>
          <w:sz w:val="24"/>
          <w:szCs w:val="24"/>
          <w:rtl/>
        </w:rPr>
        <w:t xml:space="preserve"> מידת האשם המוסרי של האדם בנסיבות המקרה. לפי מבחן זה, ייבחן האם היה בקושי לשלוט בעצמו כדי למתן את אשמת הנאשם בשים לב למכלול הנסיבות. </w:t>
      </w:r>
    </w:p>
    <w:p w:rsidR="00B255A5" w:rsidRDefault="00B255A5" w:rsidP="00B255A5">
      <w:pPr>
        <w:spacing w:before="120" w:after="0" w:line="360" w:lineRule="auto"/>
        <w:jc w:val="both"/>
        <w:rPr>
          <w:rFonts w:cs="David"/>
          <w:sz w:val="24"/>
          <w:szCs w:val="24"/>
          <w:rtl/>
        </w:rPr>
      </w:pPr>
      <w:r>
        <w:rPr>
          <w:rFonts w:cs="David" w:hint="cs"/>
          <w:sz w:val="24"/>
          <w:szCs w:val="24"/>
          <w:rtl/>
        </w:rPr>
        <w:t>יחד עם זאת, בוועדת קרמניצר צוין כי הפחתת האחריות על יסוד רמת אשמה נמוכה יותר, מושתת על ההתחשבות בחולשת הטבע האנושי- על כך שאיבוד העשתונות כשלעצמו, נוכח ההתגרות, ראוי להבנה, ולא על צידוק מוסרי להתנהגות הקטלנית. יודגש כי הנוסח אינו שולל אפשרות לקחת בחשבון גם את הנתונים האישיים של העושה אך הבחינה היא של מידת האשמה שבמעשה עצמו נוכח ההתגרות (יצוין כי מבחן זה אינו מגביל את שיקול דעת בית המשפט ומאפשר גם התחשבות בנתונים סובייקטיביים של העושה).</w:t>
      </w:r>
    </w:p>
    <w:p w:rsidR="00B255A5" w:rsidRDefault="00B255A5" w:rsidP="00B255A5">
      <w:pPr>
        <w:spacing w:before="120" w:after="0" w:line="360" w:lineRule="auto"/>
        <w:jc w:val="both"/>
        <w:rPr>
          <w:rFonts w:cs="David"/>
          <w:sz w:val="24"/>
          <w:szCs w:val="24"/>
          <w:rtl/>
        </w:rPr>
      </w:pPr>
      <w:r>
        <w:rPr>
          <w:rFonts w:cs="David" w:hint="cs"/>
          <w:sz w:val="24"/>
          <w:szCs w:val="24"/>
          <w:rtl/>
        </w:rPr>
        <w:t xml:space="preserve">הנוסח המוצע, מחד, דוחה את מבחן האדם הסביר שפיתחה הפסיקה ומאידך, מכניס אלמנט נורמטיבי של מידת האשם בנסיבות העניין. לפי דברי ההסבר להצעת החוק, הכוונה היא כי בית המשפט יכריע האם היה ברגש העז שהתעורר בנאשם, לנוכח ההתגרות והקושי בשליטה העצמית, כדי לגרוע מאשמתו מנקודת מבט חברתית- מוסרית. עוד צוין בדברי ההסבר כי לא כל המתה במצב של איבוד ניכר של שליטה עצמית, בעקבות עלבון או אפילו הרמת יד, משקפת רמת אשמה שהיא פחות משמעותית מרמת האשמה המאפיינת רצח. הביטוי "למתן את אשמתו" מאפשרת, לפי דברי ההסבר, לבית המשפט לערוך מבחן נורמטיבי שהוא יצוק לו תוכן. הנוסח מאפשר לבית המשפט גמישות רבה ושיקול דעת רחב מאד. </w:t>
      </w:r>
    </w:p>
    <w:p w:rsidR="00B255A5" w:rsidRDefault="00B255A5" w:rsidP="00B255A5">
      <w:pPr>
        <w:spacing w:before="120" w:after="0" w:line="360" w:lineRule="auto"/>
        <w:jc w:val="both"/>
        <w:rPr>
          <w:rFonts w:cs="David"/>
          <w:sz w:val="24"/>
          <w:szCs w:val="24"/>
          <w:rtl/>
        </w:rPr>
      </w:pPr>
      <w:r>
        <w:rPr>
          <w:rFonts w:cs="David" w:hint="cs"/>
          <w:sz w:val="24"/>
          <w:szCs w:val="24"/>
          <w:rtl/>
        </w:rPr>
        <w:t>עוד יצוין, כי בשונה מהמצב הקיים הנטל לא יהיה על התביעה להראות שאין קנטור, אלא על הנאשם אם יטען לכך.</w:t>
      </w:r>
    </w:p>
    <w:p w:rsidR="00B255A5" w:rsidRDefault="00B255A5" w:rsidP="00B255A5">
      <w:pPr>
        <w:spacing w:before="120" w:after="0" w:line="360" w:lineRule="auto"/>
        <w:jc w:val="both"/>
        <w:rPr>
          <w:rFonts w:cs="David"/>
          <w:sz w:val="24"/>
          <w:szCs w:val="24"/>
          <w:rtl/>
        </w:rPr>
      </w:pPr>
    </w:p>
    <w:p w:rsidR="00B255A5" w:rsidRDefault="00B255A5" w:rsidP="00B255A5">
      <w:pPr>
        <w:spacing w:before="120" w:after="0" w:line="360" w:lineRule="auto"/>
        <w:jc w:val="both"/>
        <w:rPr>
          <w:rFonts w:cs="David"/>
          <w:sz w:val="24"/>
          <w:szCs w:val="24"/>
          <w:rtl/>
        </w:rPr>
      </w:pPr>
    </w:p>
    <w:p w:rsidR="00B255A5" w:rsidRDefault="00B255A5" w:rsidP="00B255A5">
      <w:pPr>
        <w:spacing w:after="120" w:line="360" w:lineRule="auto"/>
        <w:jc w:val="both"/>
        <w:rPr>
          <w:rFonts w:ascii="David" w:hAnsi="David" w:cs="David"/>
          <w:b/>
          <w:bCs/>
          <w:sz w:val="24"/>
          <w:szCs w:val="24"/>
          <w:rtl/>
        </w:rPr>
      </w:pPr>
      <w:r>
        <w:rPr>
          <w:rFonts w:ascii="David" w:hAnsi="David" w:cs="David" w:hint="cs"/>
          <w:b/>
          <w:bCs/>
          <w:sz w:val="24"/>
          <w:szCs w:val="24"/>
          <w:rtl/>
        </w:rPr>
        <w:t>סוגיות לדיון</w:t>
      </w:r>
    </w:p>
    <w:p w:rsidR="00B255A5" w:rsidRPr="00717E8C" w:rsidRDefault="00B255A5" w:rsidP="00A7172F">
      <w:pPr>
        <w:spacing w:after="120" w:line="360" w:lineRule="auto"/>
        <w:jc w:val="both"/>
        <w:rPr>
          <w:rFonts w:ascii="David" w:hAnsi="David" w:cs="David"/>
          <w:sz w:val="24"/>
          <w:szCs w:val="24"/>
          <w:rtl/>
        </w:rPr>
      </w:pPr>
      <w:r>
        <w:rPr>
          <w:rFonts w:ascii="David" w:hAnsi="David" w:cs="David" w:hint="cs"/>
          <w:sz w:val="24"/>
          <w:szCs w:val="24"/>
          <w:rtl/>
        </w:rPr>
        <w:t xml:space="preserve">לעניין קביעת העבירה של המתה בנסיבות של אחריות מופחתת </w:t>
      </w:r>
      <w:r>
        <w:rPr>
          <w:rFonts w:ascii="David" w:hAnsi="David" w:cs="David"/>
          <w:sz w:val="24"/>
          <w:szCs w:val="24"/>
          <w:rtl/>
        </w:rPr>
        <w:t>–</w:t>
      </w:r>
      <w:r>
        <w:rPr>
          <w:rFonts w:ascii="David" w:hAnsi="David" w:cs="David" w:hint="cs"/>
          <w:sz w:val="24"/>
          <w:szCs w:val="24"/>
          <w:rtl/>
        </w:rPr>
        <w:t xml:space="preserve"> השאלה הכללית הניצבת בפני המחוקק היא </w:t>
      </w:r>
      <w:r w:rsidRPr="00717E8C">
        <w:rPr>
          <w:rFonts w:ascii="David" w:hAnsi="David" w:cs="David" w:hint="cs"/>
          <w:sz w:val="24"/>
          <w:szCs w:val="24"/>
          <w:rtl/>
        </w:rPr>
        <w:t>האם תהיה אחריות מופחתת או עונש מופחת בלבד</w:t>
      </w:r>
      <w:r>
        <w:rPr>
          <w:rFonts w:ascii="David" w:hAnsi="David" w:cs="David" w:hint="cs"/>
          <w:sz w:val="24"/>
          <w:szCs w:val="24"/>
          <w:rtl/>
        </w:rPr>
        <w:t>,</w:t>
      </w:r>
      <w:r w:rsidRPr="00717E8C">
        <w:rPr>
          <w:rFonts w:ascii="David" w:hAnsi="David" w:cs="David" w:hint="cs"/>
          <w:sz w:val="24"/>
          <w:szCs w:val="24"/>
          <w:rtl/>
        </w:rPr>
        <w:t xml:space="preserve"> כפי שקיים היום.</w:t>
      </w:r>
      <w:r>
        <w:rPr>
          <w:rFonts w:ascii="David" w:hAnsi="David" w:cs="David" w:hint="cs"/>
          <w:sz w:val="24"/>
          <w:szCs w:val="24"/>
          <w:rtl/>
        </w:rPr>
        <w:t xml:space="preserve"> מוצע ששאלה זו תיגזר מהתוכן שיצוק המחוקק לכל אחת מהנסיבות.</w:t>
      </w:r>
      <w:r w:rsidRPr="00717E8C">
        <w:rPr>
          <w:rFonts w:ascii="David" w:hAnsi="David" w:cs="David" w:hint="cs"/>
          <w:sz w:val="24"/>
          <w:szCs w:val="24"/>
          <w:rtl/>
        </w:rPr>
        <w:t xml:space="preserve"> </w:t>
      </w:r>
      <w:r w:rsidR="00D30250">
        <w:rPr>
          <w:rFonts w:ascii="David" w:hAnsi="David" w:cs="David" w:hint="cs"/>
          <w:sz w:val="24"/>
          <w:szCs w:val="24"/>
          <w:rtl/>
        </w:rPr>
        <w:t xml:space="preserve">לפיכך, </w:t>
      </w:r>
      <w:r w:rsidRPr="00717E8C">
        <w:rPr>
          <w:rFonts w:ascii="David" w:hAnsi="David" w:cs="David" w:hint="cs"/>
          <w:sz w:val="24"/>
          <w:szCs w:val="24"/>
          <w:rtl/>
        </w:rPr>
        <w:t xml:space="preserve">מוצע לדון תחילה בתוכן </w:t>
      </w:r>
      <w:r w:rsidR="00A7172F">
        <w:rPr>
          <w:rFonts w:ascii="David" w:hAnsi="David" w:cs="David" w:hint="cs"/>
          <w:sz w:val="24"/>
          <w:szCs w:val="24"/>
          <w:rtl/>
        </w:rPr>
        <w:t>כל אחת מ</w:t>
      </w:r>
      <w:r w:rsidRPr="00717E8C">
        <w:rPr>
          <w:rFonts w:ascii="David" w:hAnsi="David" w:cs="David" w:hint="cs"/>
          <w:sz w:val="24"/>
          <w:szCs w:val="24"/>
          <w:rtl/>
        </w:rPr>
        <w:t>הנסיבות</w:t>
      </w:r>
      <w:r w:rsidR="00A7172F">
        <w:rPr>
          <w:rFonts w:ascii="David" w:hAnsi="David" w:cs="David" w:hint="cs"/>
          <w:sz w:val="24"/>
          <w:szCs w:val="24"/>
          <w:rtl/>
        </w:rPr>
        <w:t xml:space="preserve"> ולאחר מכן לדון בשאלה הכללית האם מדובר באחריות מופחתת או עונש מופחת</w:t>
      </w:r>
      <w:r w:rsidRPr="00717E8C">
        <w:rPr>
          <w:rFonts w:ascii="David" w:hAnsi="David" w:cs="David" w:hint="cs"/>
          <w:sz w:val="24"/>
          <w:szCs w:val="24"/>
          <w:rtl/>
        </w:rPr>
        <w:t>.</w:t>
      </w:r>
    </w:p>
    <w:p w:rsidR="00B255A5" w:rsidRPr="00717E8C" w:rsidRDefault="00B255A5" w:rsidP="00B255A5">
      <w:pPr>
        <w:spacing w:after="120" w:line="360" w:lineRule="auto"/>
        <w:jc w:val="both"/>
        <w:rPr>
          <w:rFonts w:ascii="David" w:hAnsi="David" w:cs="David"/>
          <w:sz w:val="24"/>
          <w:szCs w:val="24"/>
          <w:rtl/>
        </w:rPr>
      </w:pPr>
      <w:r>
        <w:rPr>
          <w:rFonts w:ascii="David" w:hAnsi="David" w:cs="David" w:hint="cs"/>
          <w:sz w:val="24"/>
          <w:szCs w:val="24"/>
          <w:rtl/>
        </w:rPr>
        <w:t>לעניין הקנטור, מוצע לדון בשאלות הבאות:</w:t>
      </w:r>
    </w:p>
    <w:p w:rsidR="00D30250" w:rsidRDefault="00B255A5" w:rsidP="00B255A5">
      <w:pPr>
        <w:spacing w:after="120" w:line="360" w:lineRule="auto"/>
        <w:jc w:val="both"/>
        <w:rPr>
          <w:rFonts w:ascii="David" w:hAnsi="David" w:cs="David"/>
          <w:sz w:val="24"/>
          <w:szCs w:val="24"/>
          <w:rtl/>
        </w:rPr>
      </w:pPr>
      <w:r w:rsidRPr="00717E8C">
        <w:rPr>
          <w:rFonts w:ascii="David" w:hAnsi="David" w:cs="David" w:hint="cs"/>
          <w:sz w:val="24"/>
          <w:szCs w:val="24"/>
          <w:rtl/>
        </w:rPr>
        <w:t xml:space="preserve">האם </w:t>
      </w:r>
      <w:r>
        <w:rPr>
          <w:rFonts w:ascii="David" w:hAnsi="David" w:cs="David" w:hint="cs"/>
          <w:sz w:val="24"/>
          <w:szCs w:val="24"/>
          <w:rtl/>
        </w:rPr>
        <w:t xml:space="preserve">בהכרח </w:t>
      </w:r>
      <w:r w:rsidRPr="00731162">
        <w:rPr>
          <w:rFonts w:ascii="David" w:hAnsi="David" w:cs="David" w:hint="cs"/>
          <w:sz w:val="24"/>
          <w:szCs w:val="24"/>
          <w:rtl/>
        </w:rPr>
        <w:t>המתה בעקבות קנטור חמורה פחות מהמתה בכוונה ספונטנית שלא בעקבות קנטור או</w:t>
      </w:r>
      <w:r>
        <w:rPr>
          <w:rFonts w:ascii="David" w:hAnsi="David" w:cs="David" w:hint="cs"/>
          <w:sz w:val="24"/>
          <w:szCs w:val="24"/>
          <w:rtl/>
        </w:rPr>
        <w:t xml:space="preserve"> מהמתה</w:t>
      </w:r>
      <w:r w:rsidRPr="00731162">
        <w:rPr>
          <w:rFonts w:ascii="David" w:hAnsi="David" w:cs="David" w:hint="cs"/>
          <w:sz w:val="24"/>
          <w:szCs w:val="24"/>
          <w:rtl/>
        </w:rPr>
        <w:t xml:space="preserve"> שבוצעה באדישות? </w:t>
      </w:r>
      <w:r w:rsidR="00D30250" w:rsidRPr="00717E8C">
        <w:rPr>
          <w:rFonts w:ascii="David" w:hAnsi="David" w:cs="David" w:hint="cs"/>
          <w:sz w:val="24"/>
          <w:szCs w:val="24"/>
          <w:rtl/>
        </w:rPr>
        <w:t xml:space="preserve">מה שונה האדיש מתוך כעס לעומת מי שאיבד את העשתונות? </w:t>
      </w:r>
      <w:r w:rsidR="00D30250" w:rsidRPr="00F025DC">
        <w:rPr>
          <w:rFonts w:ascii="David" w:hAnsi="David" w:cs="David" w:hint="cs"/>
          <w:sz w:val="24"/>
          <w:szCs w:val="24"/>
          <w:rtl/>
        </w:rPr>
        <w:t>מוצע שהוועדה תשמע דוגמאות לעניין זה.</w:t>
      </w:r>
    </w:p>
    <w:p w:rsidR="00B255A5" w:rsidRDefault="00B255A5" w:rsidP="007176D1">
      <w:pPr>
        <w:spacing w:after="120" w:line="360" w:lineRule="auto"/>
        <w:jc w:val="both"/>
        <w:rPr>
          <w:rFonts w:ascii="David" w:hAnsi="David" w:cs="David"/>
          <w:sz w:val="24"/>
          <w:szCs w:val="24"/>
          <w:rtl/>
        </w:rPr>
      </w:pPr>
      <w:r w:rsidRPr="00731162">
        <w:rPr>
          <w:rFonts w:ascii="David" w:hAnsi="David" w:cs="David" w:hint="cs"/>
          <w:sz w:val="24"/>
          <w:szCs w:val="24"/>
          <w:rtl/>
        </w:rPr>
        <w:t>(</w:t>
      </w:r>
      <w:r w:rsidRPr="00731162">
        <w:rPr>
          <w:rFonts w:cs="David" w:hint="cs"/>
          <w:sz w:val="24"/>
          <w:szCs w:val="24"/>
          <w:rtl/>
        </w:rPr>
        <w:t xml:space="preserve">יש לזכור </w:t>
      </w:r>
      <w:r w:rsidR="007176D1">
        <w:rPr>
          <w:rFonts w:cs="David" w:hint="cs"/>
          <w:sz w:val="24"/>
          <w:szCs w:val="24"/>
          <w:rtl/>
        </w:rPr>
        <w:t xml:space="preserve">בהקשר זה, </w:t>
      </w:r>
      <w:r w:rsidRPr="00731162">
        <w:rPr>
          <w:rFonts w:cs="David" w:hint="cs"/>
          <w:sz w:val="24"/>
          <w:szCs w:val="24"/>
          <w:rtl/>
        </w:rPr>
        <w:t xml:space="preserve">כי השינוי המוצע בעבירות </w:t>
      </w:r>
      <w:r w:rsidRPr="00CB4BBD">
        <w:rPr>
          <w:rFonts w:cs="David" w:hint="cs"/>
          <w:sz w:val="24"/>
          <w:szCs w:val="24"/>
          <w:rtl/>
        </w:rPr>
        <w:t xml:space="preserve">ההמתה מביא לכך שהמתה </w:t>
      </w:r>
      <w:r w:rsidR="007176D1">
        <w:rPr>
          <w:rFonts w:cs="David" w:hint="cs"/>
          <w:sz w:val="24"/>
          <w:szCs w:val="24"/>
          <w:rtl/>
        </w:rPr>
        <w:t xml:space="preserve">שבוצעה באופן </w:t>
      </w:r>
      <w:r w:rsidRPr="00CB4BBD">
        <w:rPr>
          <w:rFonts w:cs="David" w:hint="cs"/>
          <w:sz w:val="24"/>
          <w:szCs w:val="24"/>
          <w:rtl/>
        </w:rPr>
        <w:t>ספונטני או באדישות, אין בגינה מאסר עולם חובה</w:t>
      </w:r>
      <w:r w:rsidR="00D30250">
        <w:rPr>
          <w:rFonts w:cs="David" w:hint="cs"/>
          <w:sz w:val="24"/>
          <w:szCs w:val="24"/>
          <w:rtl/>
        </w:rPr>
        <w:t>, בניגוד ל</w:t>
      </w:r>
      <w:r w:rsidRPr="00CB4BBD">
        <w:rPr>
          <w:rFonts w:cs="David" w:hint="cs"/>
          <w:sz w:val="24"/>
          <w:szCs w:val="24"/>
          <w:rtl/>
        </w:rPr>
        <w:t xml:space="preserve">מצב הקיים, בו </w:t>
      </w:r>
      <w:r w:rsidRPr="00CB4BBD">
        <w:rPr>
          <w:rFonts w:ascii="David" w:hAnsi="David" w:cs="David" w:hint="cs"/>
          <w:sz w:val="24"/>
          <w:szCs w:val="24"/>
          <w:rtl/>
        </w:rPr>
        <w:t xml:space="preserve">הקנטור נועד להבחין בין מצב של כוונה תחילה לכוונה ספונטנית או למצב </w:t>
      </w:r>
      <w:r w:rsidR="007176D1">
        <w:rPr>
          <w:rFonts w:ascii="David" w:hAnsi="David" w:cs="David" w:hint="cs"/>
          <w:sz w:val="24"/>
          <w:szCs w:val="24"/>
          <w:rtl/>
        </w:rPr>
        <w:t>בו בוצעה המתה</w:t>
      </w:r>
      <w:r w:rsidRPr="00CB4BBD">
        <w:rPr>
          <w:rFonts w:ascii="David" w:hAnsi="David" w:cs="David" w:hint="cs"/>
          <w:sz w:val="24"/>
          <w:szCs w:val="24"/>
          <w:rtl/>
        </w:rPr>
        <w:t xml:space="preserve"> מבלי לשקול</w:t>
      </w:r>
      <w:r w:rsidRPr="00CB4BBD">
        <w:rPr>
          <w:rFonts w:cs="David" w:hint="cs"/>
          <w:sz w:val="24"/>
          <w:szCs w:val="24"/>
          <w:rtl/>
        </w:rPr>
        <w:t>).</w:t>
      </w:r>
      <w:r w:rsidRPr="00731162">
        <w:rPr>
          <w:rFonts w:cs="David" w:hint="cs"/>
          <w:sz w:val="24"/>
          <w:szCs w:val="24"/>
          <w:rtl/>
        </w:rPr>
        <w:t xml:space="preserve"> </w:t>
      </w:r>
    </w:p>
    <w:p w:rsidR="00B255A5" w:rsidRDefault="00B255A5" w:rsidP="00B255A5">
      <w:pPr>
        <w:spacing w:after="120" w:line="360" w:lineRule="auto"/>
        <w:jc w:val="both"/>
        <w:rPr>
          <w:rFonts w:ascii="David" w:hAnsi="David" w:cs="David"/>
          <w:sz w:val="24"/>
          <w:szCs w:val="24"/>
          <w:rtl/>
        </w:rPr>
      </w:pPr>
      <w:r w:rsidRPr="00717E8C">
        <w:rPr>
          <w:rFonts w:ascii="David" w:hAnsi="David" w:cs="David" w:hint="cs"/>
          <w:sz w:val="24"/>
          <w:szCs w:val="24"/>
          <w:rtl/>
        </w:rPr>
        <w:t>מדוע ומתי יש</w:t>
      </w:r>
      <w:r>
        <w:rPr>
          <w:rFonts w:ascii="David" w:hAnsi="David" w:cs="David" w:hint="cs"/>
          <w:sz w:val="24"/>
          <w:szCs w:val="24"/>
          <w:rtl/>
        </w:rPr>
        <w:t xml:space="preserve"> הצדקה לקבוע את הקנטור ב</w:t>
      </w:r>
      <w:r w:rsidR="00D30250">
        <w:rPr>
          <w:rFonts w:ascii="David" w:hAnsi="David" w:cs="David" w:hint="cs"/>
          <w:sz w:val="24"/>
          <w:szCs w:val="24"/>
          <w:rtl/>
        </w:rPr>
        <w:t xml:space="preserve">אופן </w:t>
      </w:r>
      <w:r>
        <w:rPr>
          <w:rFonts w:ascii="David" w:hAnsi="David" w:cs="David" w:hint="cs"/>
          <w:sz w:val="24"/>
          <w:szCs w:val="24"/>
          <w:rtl/>
        </w:rPr>
        <w:t>שונה מכוונה ספונטנית או אדישות</w:t>
      </w:r>
      <w:r w:rsidRPr="00717E8C">
        <w:rPr>
          <w:rFonts w:ascii="David" w:hAnsi="David" w:cs="David" w:hint="cs"/>
          <w:sz w:val="24"/>
          <w:szCs w:val="24"/>
          <w:rtl/>
        </w:rPr>
        <w:t xml:space="preserve"> ולייחס לכך אחריות מופחתת?</w:t>
      </w:r>
      <w:r>
        <w:rPr>
          <w:rFonts w:ascii="David" w:hAnsi="David" w:cs="David" w:hint="cs"/>
          <w:sz w:val="24"/>
          <w:szCs w:val="24"/>
          <w:rtl/>
        </w:rPr>
        <w:t xml:space="preserve"> </w:t>
      </w:r>
      <w:r w:rsidR="00EA7388">
        <w:rPr>
          <w:rFonts w:ascii="David" w:hAnsi="David" w:cs="David" w:hint="cs"/>
          <w:sz w:val="24"/>
          <w:szCs w:val="24"/>
          <w:rtl/>
        </w:rPr>
        <w:t xml:space="preserve">מתי לא די בכך שבית המשפט יכול לגזור עונש קל יותר (שכן, בהתאם לרפורמה העונש בעבירת הרצח הבסיסית הוא עונש מירבי שנותן שיקול דעת רחב לבית המשפט)? </w:t>
      </w:r>
      <w:r w:rsidRPr="00731162">
        <w:rPr>
          <w:rFonts w:ascii="David" w:hAnsi="David" w:cs="David" w:hint="cs"/>
          <w:sz w:val="24"/>
          <w:szCs w:val="24"/>
          <w:rtl/>
        </w:rPr>
        <w:t xml:space="preserve">או, במילים אחרות, איזו התגרות סבור המחוקק </w:t>
      </w:r>
      <w:r>
        <w:rPr>
          <w:rFonts w:ascii="David" w:hAnsi="David" w:cs="David" w:hint="cs"/>
          <w:sz w:val="24"/>
          <w:szCs w:val="24"/>
          <w:rtl/>
        </w:rPr>
        <w:t>ש</w:t>
      </w:r>
      <w:r w:rsidRPr="00731162">
        <w:rPr>
          <w:rFonts w:ascii="David" w:hAnsi="David" w:cs="David" w:hint="cs"/>
          <w:sz w:val="24"/>
          <w:szCs w:val="24"/>
          <w:rtl/>
        </w:rPr>
        <w:t>מצביעה על אשם נמוך יותר שצריך לקבוע</w:t>
      </w:r>
      <w:r w:rsidRPr="00717E8C">
        <w:rPr>
          <w:rFonts w:ascii="David" w:hAnsi="David" w:cs="David" w:hint="cs"/>
          <w:sz w:val="24"/>
          <w:szCs w:val="24"/>
          <w:rtl/>
        </w:rPr>
        <w:t xml:space="preserve"> </w:t>
      </w:r>
      <w:r>
        <w:rPr>
          <w:rFonts w:ascii="David" w:hAnsi="David" w:cs="David" w:hint="cs"/>
          <w:sz w:val="24"/>
          <w:szCs w:val="24"/>
          <w:rtl/>
        </w:rPr>
        <w:t xml:space="preserve">בגינו </w:t>
      </w:r>
      <w:r w:rsidRPr="00717E8C">
        <w:rPr>
          <w:rFonts w:ascii="David" w:hAnsi="David" w:cs="David" w:hint="cs"/>
          <w:sz w:val="24"/>
          <w:szCs w:val="24"/>
          <w:rtl/>
        </w:rPr>
        <w:t>אחריות מופחתת?</w:t>
      </w:r>
    </w:p>
    <w:p w:rsidR="00B255A5" w:rsidRPr="00717E8C" w:rsidRDefault="00B255A5" w:rsidP="007176D1">
      <w:pPr>
        <w:spacing w:after="120" w:line="360" w:lineRule="auto"/>
        <w:jc w:val="both"/>
        <w:rPr>
          <w:rFonts w:ascii="David" w:hAnsi="David" w:cs="David"/>
          <w:sz w:val="24"/>
          <w:szCs w:val="24"/>
          <w:rtl/>
        </w:rPr>
      </w:pPr>
      <w:r w:rsidRPr="00717E8C">
        <w:rPr>
          <w:rFonts w:ascii="David" w:hAnsi="David" w:cs="David" w:hint="cs"/>
          <w:sz w:val="24"/>
          <w:szCs w:val="24"/>
          <w:rtl/>
        </w:rPr>
        <w:t xml:space="preserve">יתכן </w:t>
      </w:r>
      <w:r w:rsidR="007176D1">
        <w:rPr>
          <w:rFonts w:ascii="David" w:hAnsi="David" w:cs="David" w:hint="cs"/>
          <w:sz w:val="24"/>
          <w:szCs w:val="24"/>
          <w:rtl/>
        </w:rPr>
        <w:t>שההבחנה בין המצבים נעוצה בהתגרות של המנוח</w:t>
      </w:r>
      <w:r w:rsidRPr="00717E8C">
        <w:rPr>
          <w:rFonts w:ascii="David" w:hAnsi="David" w:cs="David" w:hint="cs"/>
          <w:sz w:val="24"/>
          <w:szCs w:val="24"/>
          <w:rtl/>
        </w:rPr>
        <w:t xml:space="preserve">, ולא איבוד העשתונות, ואז השאלה היא איזו התגרות "מצדיקה" </w:t>
      </w:r>
      <w:r>
        <w:rPr>
          <w:rFonts w:ascii="David" w:hAnsi="David" w:cs="David" w:hint="cs"/>
          <w:sz w:val="24"/>
          <w:szCs w:val="24"/>
          <w:rtl/>
        </w:rPr>
        <w:t xml:space="preserve">או מצביעה על אשם נמוך יותר, </w:t>
      </w:r>
      <w:r w:rsidRPr="00717E8C">
        <w:rPr>
          <w:rFonts w:ascii="David" w:hAnsi="David" w:cs="David" w:hint="cs"/>
          <w:sz w:val="24"/>
          <w:szCs w:val="24"/>
          <w:rtl/>
        </w:rPr>
        <w:t>או איזה מצב נפשי שההתגרות גורמת לממית מצביעה על אשם נמוך יותר?</w:t>
      </w:r>
    </w:p>
    <w:p w:rsidR="00D30250" w:rsidRDefault="00D30250" w:rsidP="00B255A5">
      <w:pPr>
        <w:spacing w:before="120" w:after="0" w:line="360" w:lineRule="auto"/>
        <w:jc w:val="both"/>
        <w:rPr>
          <w:rFonts w:cs="David"/>
          <w:sz w:val="24"/>
          <w:szCs w:val="24"/>
          <w:rtl/>
        </w:rPr>
      </w:pPr>
    </w:p>
    <w:p w:rsidR="00B255A5" w:rsidRDefault="00B255A5" w:rsidP="007176D1">
      <w:pPr>
        <w:spacing w:before="120" w:after="0" w:line="360" w:lineRule="auto"/>
        <w:jc w:val="both"/>
        <w:rPr>
          <w:rFonts w:cs="David"/>
          <w:sz w:val="24"/>
          <w:szCs w:val="24"/>
          <w:rtl/>
        </w:rPr>
      </w:pPr>
      <w:r>
        <w:rPr>
          <w:rFonts w:cs="David" w:hint="cs"/>
          <w:sz w:val="24"/>
          <w:szCs w:val="24"/>
          <w:rtl/>
        </w:rPr>
        <w:t xml:space="preserve">שאלה נוספת היא האם הנוסח המוצע אינו רחב </w:t>
      </w:r>
      <w:r w:rsidR="007176D1">
        <w:rPr>
          <w:rFonts w:cs="David" w:hint="cs"/>
          <w:sz w:val="24"/>
          <w:szCs w:val="24"/>
          <w:rtl/>
        </w:rPr>
        <w:t>יתר על המידה</w:t>
      </w:r>
      <w:r>
        <w:rPr>
          <w:rFonts w:cs="David" w:hint="cs"/>
          <w:sz w:val="24"/>
          <w:szCs w:val="24"/>
          <w:rtl/>
        </w:rPr>
        <w:t>.  הנוסח המוצע אמנם קובע כי אמת המידה היא האשם המוסרי</w:t>
      </w:r>
      <w:r w:rsidR="00D30250">
        <w:rPr>
          <w:rFonts w:cs="David" w:hint="cs"/>
          <w:sz w:val="24"/>
          <w:szCs w:val="24"/>
          <w:rtl/>
        </w:rPr>
        <w:t>,</w:t>
      </w:r>
      <w:r>
        <w:rPr>
          <w:rFonts w:cs="David" w:hint="cs"/>
          <w:sz w:val="24"/>
          <w:szCs w:val="24"/>
          <w:rtl/>
        </w:rPr>
        <w:t xml:space="preserve"> אך לא מבנה את שיקול דעת בית המשפט מתי יש בכך משום אשמה נמוכה יותר. מתעוררת השאלה מהו שיקול הדעת שמצפים מבית המשפט להפעיל בשאלה זו? איזו התגרות תחשב כמצמצמת את מידת האשמה? כיצד יקבע בית המשפט אם יש בכך כדי למתן את האשמה? וכיצד מונעים </w:t>
      </w:r>
      <w:r w:rsidR="00D30250">
        <w:rPr>
          <w:rFonts w:cs="David" w:hint="cs"/>
          <w:sz w:val="24"/>
          <w:szCs w:val="24"/>
          <w:rtl/>
        </w:rPr>
        <w:t xml:space="preserve">פער </w:t>
      </w:r>
      <w:r>
        <w:rPr>
          <w:rFonts w:cs="David" w:hint="cs"/>
          <w:sz w:val="24"/>
          <w:szCs w:val="24"/>
          <w:rtl/>
        </w:rPr>
        <w:t>בפסקי הדין בהתאם להשקפת העולם המוסרית של כל שופט? (יתכן גם כי הדבר יביא לסובייקטיביזציית יתר, בדומה לחשש שהביעה הנשיאה בייניש בעניין ביטון).</w:t>
      </w:r>
    </w:p>
    <w:p w:rsidR="00B255A5" w:rsidRDefault="00B255A5" w:rsidP="00B255A5">
      <w:pPr>
        <w:spacing w:after="120" w:line="360" w:lineRule="auto"/>
        <w:jc w:val="both"/>
        <w:rPr>
          <w:rFonts w:ascii="David" w:hAnsi="David" w:cs="David"/>
          <w:sz w:val="24"/>
          <w:szCs w:val="24"/>
          <w:rtl/>
        </w:rPr>
      </w:pPr>
      <w:r>
        <w:rPr>
          <w:rFonts w:ascii="David" w:hAnsi="David" w:cs="David" w:hint="cs"/>
          <w:sz w:val="24"/>
          <w:szCs w:val="24"/>
          <w:rtl/>
        </w:rPr>
        <w:t xml:space="preserve">מוצע לדון בשאלה </w:t>
      </w:r>
      <w:r w:rsidRPr="00717E8C">
        <w:rPr>
          <w:rFonts w:ascii="David" w:hAnsi="David" w:cs="David" w:hint="cs"/>
          <w:sz w:val="24"/>
          <w:szCs w:val="24"/>
          <w:rtl/>
        </w:rPr>
        <w:t>כיצד מבטיחים ומבטאים את עמדת המחוקק כי לא יהיה בכך מתן לגיטימציה לחמימות מוח</w:t>
      </w:r>
      <w:r>
        <w:rPr>
          <w:rFonts w:ascii="David" w:hAnsi="David" w:cs="David" w:hint="cs"/>
          <w:sz w:val="24"/>
          <w:szCs w:val="24"/>
          <w:rtl/>
        </w:rPr>
        <w:t xml:space="preserve"> (שאולי היא אף מסוכנת יותר)</w:t>
      </w:r>
      <w:r w:rsidRPr="00717E8C">
        <w:rPr>
          <w:rFonts w:ascii="David" w:hAnsi="David" w:cs="David" w:hint="cs"/>
          <w:sz w:val="24"/>
          <w:szCs w:val="24"/>
          <w:rtl/>
        </w:rPr>
        <w:t>?</w:t>
      </w:r>
      <w:r>
        <w:rPr>
          <w:rFonts w:ascii="David" w:hAnsi="David" w:cs="David" w:hint="cs"/>
          <w:sz w:val="24"/>
          <w:szCs w:val="24"/>
          <w:rtl/>
        </w:rPr>
        <w:t xml:space="preserve"> </w:t>
      </w:r>
    </w:p>
    <w:p w:rsidR="00B255A5" w:rsidRPr="00717E8C" w:rsidRDefault="00B03AFE" w:rsidP="007176D1">
      <w:pPr>
        <w:spacing w:after="120" w:line="360" w:lineRule="auto"/>
        <w:jc w:val="both"/>
        <w:rPr>
          <w:rFonts w:ascii="David" w:hAnsi="David" w:cs="David"/>
          <w:sz w:val="24"/>
          <w:szCs w:val="24"/>
          <w:rtl/>
        </w:rPr>
      </w:pPr>
      <w:r>
        <w:rPr>
          <w:rFonts w:cs="David" w:hint="cs"/>
          <w:sz w:val="24"/>
          <w:szCs w:val="24"/>
          <w:rtl/>
        </w:rPr>
        <w:t xml:space="preserve">נוכח האמור, </w:t>
      </w:r>
      <w:r w:rsidR="00B255A5">
        <w:rPr>
          <w:rFonts w:cs="David" w:hint="cs"/>
          <w:sz w:val="24"/>
          <w:szCs w:val="24"/>
          <w:rtl/>
        </w:rPr>
        <w:t xml:space="preserve">מוצע לדון בנוסח ולשקול אם </w:t>
      </w:r>
      <w:r w:rsidR="00D30250">
        <w:rPr>
          <w:rFonts w:cs="David" w:hint="cs"/>
          <w:sz w:val="24"/>
          <w:szCs w:val="24"/>
          <w:rtl/>
        </w:rPr>
        <w:t xml:space="preserve">ראוי </w:t>
      </w:r>
      <w:r>
        <w:rPr>
          <w:rFonts w:cs="David" w:hint="cs"/>
          <w:sz w:val="24"/>
          <w:szCs w:val="24"/>
          <w:rtl/>
        </w:rPr>
        <w:t xml:space="preserve">לחדד </w:t>
      </w:r>
      <w:r w:rsidR="00B255A5">
        <w:rPr>
          <w:rFonts w:cs="David" w:hint="cs"/>
          <w:sz w:val="24"/>
          <w:szCs w:val="24"/>
          <w:rtl/>
        </w:rPr>
        <w:t>באמצעות הוספת רכיב לפיו הממית הרגיש במצוקה או מאוים באותה עת, או להוסיף בהגדרה דרישה לכך שההתגרות הייתה חמורה או פיסית (בניגוד למילולית)</w:t>
      </w:r>
      <w:r w:rsidR="007176D1">
        <w:rPr>
          <w:rFonts w:cs="David" w:hint="cs"/>
          <w:sz w:val="24"/>
          <w:szCs w:val="24"/>
          <w:rtl/>
        </w:rPr>
        <w:t xml:space="preserve"> או לחדדו בדרך אחרת</w:t>
      </w:r>
      <w:r w:rsidR="00B255A5">
        <w:rPr>
          <w:rFonts w:cs="David" w:hint="cs"/>
          <w:sz w:val="24"/>
          <w:szCs w:val="24"/>
          <w:rtl/>
        </w:rPr>
        <w:t xml:space="preserve">. </w:t>
      </w:r>
    </w:p>
    <w:p w:rsidR="000661D8" w:rsidRDefault="00B255A5" w:rsidP="0055192B">
      <w:pPr>
        <w:spacing w:after="120" w:line="360" w:lineRule="auto"/>
        <w:jc w:val="both"/>
      </w:pPr>
      <w:r>
        <w:rPr>
          <w:rFonts w:ascii="David" w:hAnsi="David" w:cs="David" w:hint="cs"/>
          <w:sz w:val="24"/>
          <w:szCs w:val="24"/>
          <w:rtl/>
        </w:rPr>
        <w:t>ככל שהוועדה תחליט לאמץ את הקנטור כנסיבה מקלה, מוצע לדון בשאלה אם זו תחשב כאחריות מ</w:t>
      </w:r>
      <w:r w:rsidR="007176D1">
        <w:rPr>
          <w:rFonts w:ascii="David" w:hAnsi="David" w:cs="David" w:hint="cs"/>
          <w:sz w:val="24"/>
          <w:szCs w:val="24"/>
          <w:rtl/>
        </w:rPr>
        <w:t>ו</w:t>
      </w:r>
      <w:r>
        <w:rPr>
          <w:rFonts w:ascii="David" w:hAnsi="David" w:cs="David" w:hint="cs"/>
          <w:sz w:val="24"/>
          <w:szCs w:val="24"/>
          <w:rtl/>
        </w:rPr>
        <w:t xml:space="preserve">פחתת או נסיבה </w:t>
      </w:r>
      <w:r w:rsidR="008C2DBF">
        <w:rPr>
          <w:rFonts w:ascii="David" w:hAnsi="David" w:cs="David" w:hint="cs"/>
          <w:sz w:val="24"/>
          <w:szCs w:val="24"/>
          <w:rtl/>
        </w:rPr>
        <w:t xml:space="preserve">המגבשת </w:t>
      </w:r>
      <w:r>
        <w:rPr>
          <w:rFonts w:ascii="David" w:hAnsi="David" w:cs="David" w:hint="cs"/>
          <w:sz w:val="24"/>
          <w:szCs w:val="24"/>
          <w:rtl/>
        </w:rPr>
        <w:t>עונש מופחת בלבד.</w:t>
      </w:r>
      <w:r w:rsidR="007176D1">
        <w:rPr>
          <w:rFonts w:ascii="David" w:hAnsi="David" w:cs="David" w:hint="cs"/>
          <w:sz w:val="24"/>
          <w:szCs w:val="24"/>
          <w:rtl/>
        </w:rPr>
        <w:t xml:space="preserve"> </w:t>
      </w:r>
    </w:p>
    <w:sectPr w:rsidR="000661D8" w:rsidSect="00FD3A53">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1B6" w:rsidRDefault="00EA21B6" w:rsidP="00B255A5">
      <w:pPr>
        <w:spacing w:after="0" w:line="240" w:lineRule="auto"/>
      </w:pPr>
      <w:r>
        <w:separator/>
      </w:r>
    </w:p>
  </w:endnote>
  <w:endnote w:type="continuationSeparator" w:id="0">
    <w:p w:rsidR="00EA21B6" w:rsidRDefault="00EA21B6" w:rsidP="00B2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Arial TUR">
    <w:altName w:val="Arial"/>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98466990"/>
      <w:docPartObj>
        <w:docPartGallery w:val="Page Numbers (Bottom of Page)"/>
        <w:docPartUnique/>
      </w:docPartObj>
    </w:sdtPr>
    <w:sdtEndPr>
      <w:rPr>
        <w:cs/>
      </w:rPr>
    </w:sdtEndPr>
    <w:sdtContent>
      <w:p w:rsidR="001967B4" w:rsidRDefault="00EA21B6">
        <w:pPr>
          <w:pStyle w:val="a8"/>
          <w:jc w:val="right"/>
          <w:rPr>
            <w:rtl/>
            <w:cs/>
          </w:rPr>
        </w:pPr>
        <w:r>
          <w:fldChar w:fldCharType="begin"/>
        </w:r>
        <w:r>
          <w:rPr>
            <w:rtl/>
            <w:cs/>
          </w:rPr>
          <w:instrText>PAGE   \* MERGEFORMAT</w:instrText>
        </w:r>
        <w:r>
          <w:fldChar w:fldCharType="separate"/>
        </w:r>
        <w:r w:rsidR="003D68FC" w:rsidRPr="003D68FC">
          <w:rPr>
            <w:noProof/>
            <w:rtl/>
            <w:lang w:val="he-IL"/>
          </w:rPr>
          <w:t>1</w:t>
        </w:r>
        <w:r>
          <w:fldChar w:fldCharType="end"/>
        </w:r>
      </w:p>
    </w:sdtContent>
  </w:sdt>
  <w:p w:rsidR="001967B4" w:rsidRDefault="003D68F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1B6" w:rsidRDefault="00EA21B6" w:rsidP="00B255A5">
      <w:pPr>
        <w:spacing w:after="0" w:line="240" w:lineRule="auto"/>
      </w:pPr>
      <w:r>
        <w:separator/>
      </w:r>
    </w:p>
  </w:footnote>
  <w:footnote w:type="continuationSeparator" w:id="0">
    <w:p w:rsidR="00EA21B6" w:rsidRDefault="00EA21B6" w:rsidP="00B255A5">
      <w:pPr>
        <w:spacing w:after="0" w:line="240" w:lineRule="auto"/>
      </w:pPr>
      <w:r>
        <w:continuationSeparator/>
      </w:r>
    </w:p>
  </w:footnote>
  <w:footnote w:id="1">
    <w:p w:rsidR="00B255A5" w:rsidRPr="00B255A5" w:rsidRDefault="00B255A5" w:rsidP="00B255A5">
      <w:pPr>
        <w:pStyle w:val="a5"/>
        <w:rPr>
          <w:rtl/>
        </w:rPr>
      </w:pPr>
      <w:r w:rsidRPr="00B255A5">
        <w:rPr>
          <w:rStyle w:val="a7"/>
        </w:rPr>
        <w:footnoteRef/>
      </w:r>
      <w:r w:rsidRPr="00B255A5">
        <w:rPr>
          <w:rtl/>
        </w:rPr>
        <w:t xml:space="preserve"> </w:t>
      </w:r>
      <w:r w:rsidRPr="00B255A5">
        <w:rPr>
          <w:rFonts w:hint="cs"/>
          <w:rtl/>
        </w:rPr>
        <w:t>ראו דברי הכנסת מיום 1.8.95, הצבעה על הצעת חוק העונשין (תיקון מס' 44), התשנ"ה</w:t>
      </w:r>
      <w:r w:rsidRPr="00B255A5">
        <w:rPr>
          <w:rFonts w:hint="eastAsia"/>
          <w:rtl/>
        </w:rPr>
        <w:t>–</w:t>
      </w:r>
      <w:r w:rsidRPr="00B255A5">
        <w:rPr>
          <w:rFonts w:hint="cs"/>
          <w:rtl/>
        </w:rPr>
        <w:t xml:space="preserve">1995. </w:t>
      </w:r>
    </w:p>
  </w:footnote>
  <w:footnote w:id="2">
    <w:p w:rsidR="00B255A5" w:rsidRPr="00B255A5" w:rsidRDefault="00B255A5" w:rsidP="00B255A5">
      <w:pPr>
        <w:spacing w:before="120" w:after="0" w:line="360" w:lineRule="auto"/>
        <w:rPr>
          <w:rFonts w:cs="David"/>
          <w:sz w:val="20"/>
          <w:szCs w:val="20"/>
          <w:rtl/>
        </w:rPr>
      </w:pPr>
      <w:r w:rsidRPr="00B255A5">
        <w:rPr>
          <w:rStyle w:val="a7"/>
        </w:rPr>
        <w:footnoteRef/>
      </w:r>
      <w:hyperlink r:id="rId1" w:history="1">
        <w:r w:rsidRPr="00B255A5">
          <w:rPr>
            <w:rFonts w:cs="David"/>
            <w:sz w:val="20"/>
            <w:szCs w:val="20"/>
            <w:rtl/>
          </w:rPr>
          <w:t>דנ"פ</w:t>
        </w:r>
        <w:r w:rsidRPr="00B255A5">
          <w:rPr>
            <w:rtl/>
          </w:rPr>
          <w:t xml:space="preserve"> </w:t>
        </w:r>
        <w:r w:rsidRPr="00B255A5">
          <w:rPr>
            <w:rFonts w:cs="David"/>
            <w:sz w:val="20"/>
            <w:szCs w:val="20"/>
            <w:rtl/>
          </w:rPr>
          <w:t>1042/04</w:t>
        </w:r>
      </w:hyperlink>
      <w:r w:rsidRPr="00B255A5">
        <w:rPr>
          <w:rFonts w:cs="David"/>
          <w:sz w:val="20"/>
          <w:szCs w:val="20"/>
          <w:rtl/>
        </w:rPr>
        <w:t xml:space="preserve"> </w:t>
      </w:r>
      <w:r w:rsidRPr="00B255A5">
        <w:rPr>
          <w:rFonts w:cs="David"/>
          <w:b/>
          <w:bCs/>
          <w:sz w:val="20"/>
          <w:szCs w:val="20"/>
          <w:rtl/>
        </w:rPr>
        <w:t>ביטון נ' מדינת ישראל</w:t>
      </w:r>
      <w:r w:rsidRPr="00B255A5">
        <w:rPr>
          <w:rFonts w:cs="David"/>
          <w:sz w:val="20"/>
          <w:szCs w:val="20"/>
          <w:rtl/>
        </w:rPr>
        <w:t xml:space="preserve"> </w:t>
      </w:r>
      <w:r w:rsidRPr="00B255A5">
        <w:rPr>
          <w:rFonts w:ascii="David" w:hAnsi="David" w:cs="David"/>
          <w:sz w:val="20"/>
          <w:szCs w:val="20"/>
          <w:rtl/>
        </w:rPr>
        <w:t>(</w:t>
      </w:r>
      <w:r w:rsidRPr="00B255A5">
        <w:rPr>
          <w:rFonts w:ascii="David" w:hAnsi="David" w:cs="David" w:hint="cs"/>
          <w:sz w:val="20"/>
          <w:szCs w:val="20"/>
          <w:rtl/>
        </w:rPr>
        <w:t>ניתן ב</w:t>
      </w:r>
      <w:r w:rsidRPr="00B255A5">
        <w:rPr>
          <w:rFonts w:ascii="David" w:hAnsi="David" w:cs="David"/>
          <w:sz w:val="20"/>
          <w:szCs w:val="20"/>
          <w:rtl/>
        </w:rPr>
        <w:t>יום 27.11.2006)</w:t>
      </w:r>
      <w:r w:rsidRPr="00B255A5">
        <w:rPr>
          <w:rFonts w:ascii="David" w:hAnsi="David" w:cs="David" w:hint="cs"/>
          <w:sz w:val="20"/>
          <w:szCs w:val="20"/>
          <w:rtl/>
        </w:rPr>
        <w:t>.</w:t>
      </w:r>
      <w:r w:rsidRPr="00B255A5">
        <w:rPr>
          <w:rFonts w:cs="David" w:hint="cs"/>
          <w:sz w:val="20"/>
          <w:szCs w:val="20"/>
          <w:rtl/>
        </w:rPr>
        <w:t xml:space="preserve"> </w:t>
      </w:r>
      <w:r w:rsidRPr="00B255A5">
        <w:rPr>
          <w:rFonts w:ascii="David" w:hAnsi="David" w:cs="David" w:hint="cs"/>
          <w:sz w:val="20"/>
          <w:szCs w:val="20"/>
          <w:rtl/>
        </w:rPr>
        <w:t xml:space="preserve">עמד על כך השופט אהרון ברק: </w:t>
      </w:r>
      <w:r w:rsidRPr="00B255A5">
        <w:rPr>
          <w:rFonts w:cs="David" w:hint="cs"/>
          <w:b/>
          <w:bCs/>
          <w:sz w:val="20"/>
          <w:szCs w:val="20"/>
          <w:rtl/>
        </w:rPr>
        <w:t xml:space="preserve">"הגדרה זו מבוססת על שלושה יסודות מצטברים. החלטה להמית ("אם החליט להמיתו"), הכנה ("לאחר שהכין עצמו להמית אותו או שהכין מכשיר שבו המית אותו") והיעדר התגרות ("בדם קר, בלי שקדמה התגרות בתכוף למעשה בנסיבות שבהן יכול לחשוב ולהבין את תוצאות מעשיו"). </w:t>
      </w:r>
    </w:p>
  </w:footnote>
  <w:footnote w:id="3">
    <w:p w:rsidR="00B255A5" w:rsidRPr="00B255A5" w:rsidRDefault="00B255A5" w:rsidP="00B255A5">
      <w:pPr>
        <w:pStyle w:val="a5"/>
        <w:rPr>
          <w:rtl/>
        </w:rPr>
      </w:pPr>
      <w:r w:rsidRPr="00B255A5">
        <w:rPr>
          <w:rStyle w:val="a7"/>
        </w:rPr>
        <w:footnoteRef/>
      </w:r>
      <w:r w:rsidRPr="00B255A5">
        <w:rPr>
          <w:rtl/>
        </w:rPr>
        <w:t xml:space="preserve"> </w:t>
      </w:r>
      <w:r w:rsidRPr="00B255A5">
        <w:rPr>
          <w:rFonts w:hint="cs"/>
          <w:rtl/>
        </w:rPr>
        <w:t xml:space="preserve">ע"פ 746/14 </w:t>
      </w:r>
      <w:r w:rsidRPr="00B255A5">
        <w:rPr>
          <w:rFonts w:hint="cs"/>
          <w:b/>
          <w:bCs/>
          <w:rtl/>
        </w:rPr>
        <w:t>בן היילו ימר נגד מדינת ישראל</w:t>
      </w:r>
      <w:r w:rsidRPr="00B255A5">
        <w:rPr>
          <w:rFonts w:hint="cs"/>
          <w:rtl/>
        </w:rPr>
        <w:t xml:space="preserve"> (ניתן ביום 31.5.16).</w:t>
      </w:r>
    </w:p>
  </w:footnote>
  <w:footnote w:id="4">
    <w:p w:rsidR="00B255A5" w:rsidRPr="00B255A5" w:rsidRDefault="00B255A5" w:rsidP="00B255A5">
      <w:pPr>
        <w:pStyle w:val="a5"/>
      </w:pPr>
      <w:r w:rsidRPr="00B255A5">
        <w:rPr>
          <w:rStyle w:val="a7"/>
        </w:rPr>
        <w:footnoteRef/>
      </w:r>
      <w:r w:rsidRPr="00B255A5">
        <w:rPr>
          <w:rtl/>
        </w:rPr>
        <w:t xml:space="preserve"> </w:t>
      </w:r>
      <w:r w:rsidRPr="00B255A5">
        <w:rPr>
          <w:rFonts w:hint="cs"/>
          <w:rtl/>
        </w:rPr>
        <w:t xml:space="preserve">ע"פ 746/14 </w:t>
      </w:r>
      <w:r w:rsidRPr="00B255A5">
        <w:rPr>
          <w:rFonts w:hint="cs"/>
          <w:b/>
          <w:bCs/>
          <w:rtl/>
        </w:rPr>
        <w:t>בן היילו ימר נגד מדינת ישראל</w:t>
      </w:r>
      <w:r w:rsidRPr="00B255A5">
        <w:rPr>
          <w:rFonts w:hint="cs"/>
          <w:rtl/>
        </w:rPr>
        <w:t xml:space="preserve"> (ניתן ביום 31.5.16) בו נקבע:</w:t>
      </w:r>
      <w:r w:rsidRPr="00B255A5">
        <w:rPr>
          <w:rFonts w:asciiTheme="minorHAnsi" w:hAnsiTheme="minorHAnsi" w:hint="cs"/>
          <w:b/>
          <w:bCs/>
          <w:rtl/>
        </w:rPr>
        <w:t xml:space="preserve"> "על אף שמדובר ביסוד שלילי – נטל ההוכחה של רכיב "היעדר קנטור" רובץ על שכמה של התביעה, אך נקבע כי מדובר ב"מידת הוכחה פחותה".</w:t>
      </w:r>
    </w:p>
  </w:footnote>
  <w:footnote w:id="5">
    <w:p w:rsidR="00B255A5" w:rsidRPr="00B255A5" w:rsidRDefault="00B255A5" w:rsidP="00B255A5">
      <w:pPr>
        <w:pStyle w:val="a5"/>
        <w:rPr>
          <w:rtl/>
        </w:rPr>
      </w:pPr>
      <w:r w:rsidRPr="00B255A5">
        <w:rPr>
          <w:rStyle w:val="a7"/>
        </w:rPr>
        <w:footnoteRef/>
      </w:r>
      <w:r w:rsidRPr="00B255A5">
        <w:rPr>
          <w:rtl/>
        </w:rPr>
        <w:t xml:space="preserve"> </w:t>
      </w:r>
      <w:r w:rsidRPr="00B255A5">
        <w:rPr>
          <w:rFonts w:hint="cs"/>
          <w:rtl/>
        </w:rPr>
        <w:t xml:space="preserve">ע"פ 746/14 </w:t>
      </w:r>
      <w:r w:rsidRPr="00B255A5">
        <w:rPr>
          <w:rFonts w:hint="cs"/>
          <w:b/>
          <w:bCs/>
          <w:rtl/>
        </w:rPr>
        <w:t>בן היילו ימר נגד מדינת ישראל</w:t>
      </w:r>
      <w:r w:rsidRPr="00B255A5">
        <w:rPr>
          <w:rFonts w:hint="cs"/>
          <w:rtl/>
        </w:rPr>
        <w:t xml:space="preserve"> (ניתן ביום 31.5.16).</w:t>
      </w:r>
    </w:p>
    <w:p w:rsidR="00B255A5" w:rsidRPr="00B255A5" w:rsidRDefault="00B255A5" w:rsidP="00B255A5">
      <w:pPr>
        <w:pStyle w:val="a5"/>
        <w:rPr>
          <w:rtl/>
        </w:rPr>
      </w:pPr>
    </w:p>
  </w:footnote>
  <w:footnote w:id="6">
    <w:p w:rsidR="00B255A5" w:rsidRPr="00B255A5" w:rsidRDefault="00B255A5" w:rsidP="00B255A5">
      <w:pPr>
        <w:pStyle w:val="a5"/>
        <w:rPr>
          <w:rtl/>
        </w:rPr>
      </w:pPr>
      <w:r w:rsidRPr="00B255A5">
        <w:rPr>
          <w:rStyle w:val="a7"/>
        </w:rPr>
        <w:footnoteRef/>
      </w:r>
      <w:r w:rsidRPr="00B255A5">
        <w:rPr>
          <w:rtl/>
        </w:rPr>
        <w:t xml:space="preserve"> </w:t>
      </w:r>
      <w:hyperlink r:id="rId2" w:history="1">
        <w:r w:rsidRPr="00B255A5">
          <w:rPr>
            <w:sz w:val="20"/>
            <w:rtl/>
          </w:rPr>
          <w:t>דנ"פ</w:t>
        </w:r>
        <w:r w:rsidRPr="00B255A5">
          <w:rPr>
            <w:rtl/>
          </w:rPr>
          <w:t xml:space="preserve"> </w:t>
        </w:r>
        <w:r w:rsidRPr="00B255A5">
          <w:rPr>
            <w:sz w:val="20"/>
            <w:rtl/>
          </w:rPr>
          <w:t>1042/04</w:t>
        </w:r>
      </w:hyperlink>
      <w:r w:rsidRPr="00B255A5">
        <w:rPr>
          <w:sz w:val="20"/>
          <w:rtl/>
        </w:rPr>
        <w:t xml:space="preserve"> </w:t>
      </w:r>
      <w:r w:rsidRPr="00B255A5">
        <w:rPr>
          <w:b/>
          <w:bCs/>
          <w:sz w:val="20"/>
          <w:rtl/>
        </w:rPr>
        <w:t>ביטון נ' מדינת ישראל</w:t>
      </w:r>
      <w:r w:rsidRPr="00B255A5">
        <w:rPr>
          <w:sz w:val="20"/>
          <w:rtl/>
        </w:rPr>
        <w:t xml:space="preserve"> </w:t>
      </w:r>
      <w:r w:rsidRPr="00B255A5">
        <w:rPr>
          <w:rFonts w:ascii="David" w:hAnsi="David"/>
          <w:sz w:val="20"/>
          <w:rtl/>
        </w:rPr>
        <w:t>(</w:t>
      </w:r>
      <w:r w:rsidRPr="00B255A5">
        <w:rPr>
          <w:rFonts w:ascii="David" w:hAnsi="David" w:hint="cs"/>
          <w:sz w:val="20"/>
          <w:rtl/>
        </w:rPr>
        <w:t>ניתן ב</w:t>
      </w:r>
      <w:r w:rsidRPr="00B255A5">
        <w:rPr>
          <w:rFonts w:ascii="David" w:hAnsi="David"/>
          <w:sz w:val="20"/>
          <w:rtl/>
        </w:rPr>
        <w:t>יום 27.11.2006)</w:t>
      </w:r>
      <w:r w:rsidRPr="00B255A5">
        <w:rPr>
          <w:rFonts w:ascii="David" w:hAnsi="David" w:hint="cs"/>
          <w:sz w:val="20"/>
          <w:rtl/>
        </w:rPr>
        <w:t>.</w:t>
      </w:r>
    </w:p>
  </w:footnote>
  <w:footnote w:id="7">
    <w:p w:rsidR="00B255A5" w:rsidRPr="00B255A5" w:rsidRDefault="00B255A5" w:rsidP="00B255A5">
      <w:pPr>
        <w:pStyle w:val="a5"/>
        <w:rPr>
          <w:snapToGrid/>
          <w:sz w:val="20"/>
          <w:rtl/>
        </w:rPr>
      </w:pPr>
      <w:r w:rsidRPr="00B255A5">
        <w:rPr>
          <w:rStyle w:val="a7"/>
        </w:rPr>
        <w:footnoteRef/>
      </w:r>
      <w:r w:rsidRPr="00B255A5">
        <w:rPr>
          <w:rtl/>
        </w:rPr>
        <w:t xml:space="preserve"> </w:t>
      </w:r>
      <w:r w:rsidRPr="00B255A5">
        <w:rPr>
          <w:rFonts w:hint="cs"/>
          <w:snapToGrid/>
          <w:sz w:val="20"/>
          <w:rtl/>
        </w:rPr>
        <w:t xml:space="preserve">פרופ' מ. קרמניצר, "כוונה תחילה או כוונה רגילה – ברצח בכוונה תחילה? על מהות היסוד של 'העדר קנטור' בעבירה של רצח בכוונה תחילה", </w:t>
      </w:r>
      <w:r w:rsidRPr="00B255A5">
        <w:rPr>
          <w:rFonts w:hint="cs"/>
          <w:b/>
          <w:bCs/>
          <w:snapToGrid/>
          <w:sz w:val="20"/>
          <w:rtl/>
        </w:rPr>
        <w:t>משפט פלילי, קרימינולוגיה ומשטרה</w:t>
      </w:r>
      <w:r w:rsidRPr="00B255A5">
        <w:rPr>
          <w:rFonts w:hint="cs"/>
          <w:snapToGrid/>
          <w:sz w:val="20"/>
          <w:rtl/>
        </w:rPr>
        <w:t xml:space="preserve"> א' 9, 13 מ' (1986). </w:t>
      </w:r>
    </w:p>
    <w:p w:rsidR="00B255A5" w:rsidRPr="00B255A5" w:rsidRDefault="00B255A5" w:rsidP="00B255A5">
      <w:pPr>
        <w:pStyle w:val="a5"/>
      </w:pPr>
    </w:p>
  </w:footnote>
  <w:footnote w:id="8">
    <w:p w:rsidR="00B255A5" w:rsidRPr="00B255A5" w:rsidRDefault="00B255A5" w:rsidP="00B255A5">
      <w:pPr>
        <w:pStyle w:val="a5"/>
        <w:rPr>
          <w:rtl/>
        </w:rPr>
      </w:pPr>
      <w:r w:rsidRPr="00B255A5">
        <w:rPr>
          <w:rStyle w:val="a7"/>
        </w:rPr>
        <w:footnoteRef/>
      </w:r>
      <w:r w:rsidRPr="00B255A5">
        <w:rPr>
          <w:rtl/>
        </w:rPr>
        <w:t xml:space="preserve"> </w:t>
      </w:r>
      <w:r w:rsidRPr="00B255A5">
        <w:rPr>
          <w:rFonts w:hint="cs"/>
          <w:rtl/>
        </w:rPr>
        <w:t xml:space="preserve">מ. קרמניצר ול. לבנון "על היסוד של היעדר קנטור בהגדרת ה"כוונה תחילה" בעקבות דנ"פ 1042/04 ביטון נ' מדינת ישראל, </w:t>
      </w:r>
      <w:r w:rsidRPr="00B255A5">
        <w:rPr>
          <w:rFonts w:hint="cs"/>
          <w:b/>
          <w:bCs/>
          <w:rtl/>
        </w:rPr>
        <w:t>הפרקליט ספר דיויד וינר- על משפט פלילי ואתיקה</w:t>
      </w:r>
      <w:r w:rsidRPr="00B255A5">
        <w:rPr>
          <w:rFonts w:hint="cs"/>
          <w:rtl/>
        </w:rPr>
        <w:t>, (2009) עמוד 547.</w:t>
      </w:r>
    </w:p>
  </w:footnote>
  <w:footnote w:id="9">
    <w:p w:rsidR="00B255A5" w:rsidRPr="00B255A5" w:rsidRDefault="00B255A5" w:rsidP="00B255A5">
      <w:pPr>
        <w:pStyle w:val="ad"/>
        <w:tabs>
          <w:tab w:val="clear" w:pos="4153"/>
          <w:tab w:val="clear" w:pos="8306"/>
          <w:tab w:val="right" w:pos="8334"/>
        </w:tabs>
        <w:bidi/>
        <w:rPr>
          <w:rFonts w:ascii="Arial" w:eastAsia="Arial Unicode MS" w:hAnsi="Arial" w:cs="David"/>
          <w:snapToGrid w:val="0"/>
          <w:color w:val="000000"/>
          <w:sz w:val="14"/>
          <w:szCs w:val="20"/>
          <w:rtl/>
          <w:lang w:eastAsia="ja-JP"/>
        </w:rPr>
      </w:pPr>
      <w:r w:rsidRPr="00B255A5">
        <w:rPr>
          <w:rStyle w:val="a7"/>
        </w:rPr>
        <w:footnoteRef/>
      </w:r>
      <w:r w:rsidRPr="00B255A5">
        <w:rPr>
          <w:rtl/>
        </w:rPr>
        <w:t xml:space="preserve"> </w:t>
      </w:r>
      <w:r w:rsidRPr="00B255A5">
        <w:rPr>
          <w:rFonts w:ascii="Arial" w:eastAsia="Arial Unicode MS" w:hAnsi="Arial" w:cs="David"/>
          <w:snapToGrid w:val="0"/>
          <w:color w:val="000000"/>
          <w:sz w:val="14"/>
          <w:szCs w:val="20"/>
          <w:rtl/>
          <w:lang w:eastAsia="ja-JP"/>
        </w:rPr>
        <w:t>עפ 3071/92</w:t>
      </w:r>
      <w:r w:rsidRPr="00B255A5">
        <w:rPr>
          <w:rFonts w:ascii="Arial" w:eastAsia="Arial Unicode MS" w:hAnsi="Arial" w:cs="David"/>
          <w:snapToGrid w:val="0"/>
          <w:color w:val="000000"/>
          <w:sz w:val="14"/>
          <w:szCs w:val="20"/>
          <w:lang w:eastAsia="ja-JP"/>
        </w:rPr>
        <w:t xml:space="preserve"> </w:t>
      </w:r>
      <w:r w:rsidRPr="00B255A5">
        <w:rPr>
          <w:rFonts w:ascii="Arial" w:eastAsia="Arial Unicode MS" w:hAnsi="Arial" w:cs="David"/>
          <w:b/>
          <w:bCs/>
          <w:snapToGrid w:val="0"/>
          <w:color w:val="000000"/>
          <w:sz w:val="14"/>
          <w:szCs w:val="20"/>
          <w:rtl/>
          <w:lang w:eastAsia="ja-JP"/>
        </w:rPr>
        <w:t>מוריס אזואלוס</w:t>
      </w:r>
      <w:r w:rsidRPr="00B255A5">
        <w:rPr>
          <w:rFonts w:ascii="Arial" w:eastAsia="Arial Unicode MS" w:hAnsi="Arial" w:cs="David"/>
          <w:b/>
          <w:bCs/>
          <w:snapToGrid w:val="0"/>
          <w:color w:val="000000"/>
          <w:sz w:val="14"/>
          <w:szCs w:val="20"/>
          <w:lang w:eastAsia="ja-JP"/>
        </w:rPr>
        <w:t xml:space="preserve"> </w:t>
      </w:r>
      <w:r w:rsidRPr="00B255A5">
        <w:rPr>
          <w:rFonts w:ascii="Arial" w:eastAsia="Arial Unicode MS" w:hAnsi="Arial" w:cs="David"/>
          <w:b/>
          <w:bCs/>
          <w:snapToGrid w:val="0"/>
          <w:color w:val="000000"/>
          <w:sz w:val="14"/>
          <w:szCs w:val="20"/>
          <w:rtl/>
          <w:lang w:eastAsia="ja-JP"/>
        </w:rPr>
        <w:t>נ' מדינת ישראל</w:t>
      </w:r>
      <w:r w:rsidRPr="00B255A5">
        <w:rPr>
          <w:rFonts w:ascii="Arial" w:eastAsia="Arial Unicode MS" w:hAnsi="Arial" w:cs="David" w:hint="cs"/>
          <w:snapToGrid w:val="0"/>
          <w:color w:val="000000"/>
          <w:sz w:val="14"/>
          <w:szCs w:val="20"/>
          <w:rtl/>
          <w:lang w:eastAsia="ja-JP"/>
        </w:rPr>
        <w:t xml:space="preserve"> (ניתן ביום 21.4.96).</w:t>
      </w:r>
    </w:p>
  </w:footnote>
  <w:footnote w:id="10">
    <w:p w:rsidR="00B255A5" w:rsidRPr="00B255A5" w:rsidRDefault="00B255A5" w:rsidP="00B255A5">
      <w:pPr>
        <w:pStyle w:val="a5"/>
      </w:pPr>
      <w:r w:rsidRPr="00B255A5">
        <w:rPr>
          <w:rStyle w:val="a7"/>
        </w:rPr>
        <w:footnoteRef/>
      </w:r>
      <w:r w:rsidRPr="00B255A5">
        <w:rPr>
          <w:rtl/>
        </w:rPr>
        <w:t xml:space="preserve"> </w:t>
      </w:r>
      <w:r w:rsidRPr="00B255A5">
        <w:rPr>
          <w:rFonts w:hint="cs"/>
          <w:rtl/>
        </w:rPr>
        <w:t xml:space="preserve">עפ 10091/09 </w:t>
      </w:r>
      <w:r w:rsidRPr="00B255A5">
        <w:rPr>
          <w:rFonts w:hint="cs"/>
          <w:b/>
          <w:bCs/>
          <w:rtl/>
        </w:rPr>
        <w:t>שפירוב חיים נ' מדינת ישראל</w:t>
      </w:r>
      <w:r w:rsidRPr="00B255A5">
        <w:rPr>
          <w:rFonts w:hint="cs"/>
          <w:rtl/>
        </w:rPr>
        <w:t xml:space="preserve"> (ניתן ביום 25.6.12).</w:t>
      </w:r>
    </w:p>
  </w:footnote>
  <w:footnote w:id="11">
    <w:p w:rsidR="00B255A5" w:rsidRPr="00B255A5" w:rsidRDefault="00B255A5" w:rsidP="00B255A5">
      <w:pPr>
        <w:pStyle w:val="a5"/>
      </w:pPr>
      <w:r w:rsidRPr="00B255A5">
        <w:rPr>
          <w:rStyle w:val="a7"/>
        </w:rPr>
        <w:footnoteRef/>
      </w:r>
      <w:r w:rsidRPr="00B255A5">
        <w:rPr>
          <w:rtl/>
        </w:rPr>
        <w:t xml:space="preserve"> </w:t>
      </w:r>
      <w:hyperlink r:id="rId3" w:history="1">
        <w:r w:rsidRPr="00B255A5">
          <w:rPr>
            <w:rFonts w:hint="eastAsia"/>
            <w:rtl/>
          </w:rPr>
          <w:t>ע</w:t>
        </w:r>
        <w:r w:rsidRPr="00B255A5">
          <w:rPr>
            <w:rtl/>
          </w:rPr>
          <w:t xml:space="preserve">"פ 1493/98 </w:t>
        </w:r>
        <w:r w:rsidRPr="00B255A5">
          <w:rPr>
            <w:b/>
            <w:bCs/>
            <w:rtl/>
          </w:rPr>
          <w:t>סטפ נ' מדינת ישראל</w:t>
        </w:r>
        <w:r w:rsidRPr="00B255A5">
          <w:rPr>
            <w:rtl/>
          </w:rPr>
          <w:t xml:space="preserve">, </w:t>
        </w:r>
        <w:r w:rsidRPr="00B255A5">
          <w:rPr>
            <w:rFonts w:hint="cs"/>
            <w:rtl/>
          </w:rPr>
          <w:t xml:space="preserve">(ניתן ביום </w:t>
        </w:r>
      </w:hyperlink>
      <w:r w:rsidRPr="00B255A5">
        <w:rPr>
          <w:rFonts w:hint="cs"/>
          <w:rtl/>
        </w:rPr>
        <w:t>3.6.02).</w:t>
      </w:r>
    </w:p>
  </w:footnote>
  <w:footnote w:id="12">
    <w:p w:rsidR="00B255A5" w:rsidRPr="00B255A5" w:rsidRDefault="00B255A5" w:rsidP="00B255A5">
      <w:pPr>
        <w:pStyle w:val="a5"/>
      </w:pPr>
      <w:r w:rsidRPr="00B255A5">
        <w:rPr>
          <w:rStyle w:val="a7"/>
        </w:rPr>
        <w:footnoteRef/>
      </w:r>
      <w:r w:rsidRPr="00B255A5">
        <w:rPr>
          <w:rtl/>
        </w:rPr>
        <w:t xml:space="preserve"> </w:t>
      </w:r>
      <w:r w:rsidRPr="00B255A5">
        <w:rPr>
          <w:rFonts w:hint="cs"/>
          <w:rtl/>
        </w:rPr>
        <w:t xml:space="preserve">עפ 1426/12 </w:t>
      </w:r>
      <w:r w:rsidRPr="00B255A5">
        <w:rPr>
          <w:rFonts w:hint="cs"/>
          <w:b/>
          <w:bCs/>
          <w:rtl/>
        </w:rPr>
        <w:t>אחמד מוזפר נ' מדינת ישראל</w:t>
      </w:r>
      <w:r w:rsidRPr="00B255A5">
        <w:rPr>
          <w:rFonts w:hint="cs"/>
          <w:rtl/>
        </w:rPr>
        <w:t xml:space="preserve"> (ניתן ביום 16.1.14).</w:t>
      </w:r>
    </w:p>
  </w:footnote>
  <w:footnote w:id="13">
    <w:p w:rsidR="00B255A5" w:rsidRPr="00B255A5" w:rsidRDefault="00B255A5" w:rsidP="00B255A5">
      <w:pPr>
        <w:pStyle w:val="a5"/>
        <w:rPr>
          <w:rtl/>
        </w:rPr>
      </w:pPr>
      <w:r w:rsidRPr="00B255A5">
        <w:rPr>
          <w:rStyle w:val="a7"/>
        </w:rPr>
        <w:footnoteRef/>
      </w:r>
      <w:r w:rsidRPr="00B255A5">
        <w:rPr>
          <w:rtl/>
        </w:rPr>
        <w:t xml:space="preserve"> </w:t>
      </w:r>
      <w:r w:rsidRPr="00B255A5">
        <w:rPr>
          <w:rFonts w:hint="cs"/>
          <w:rtl/>
        </w:rPr>
        <w:t xml:space="preserve">ע"פ 46/54 </w:t>
      </w:r>
      <w:r w:rsidRPr="00B255A5">
        <w:rPr>
          <w:rFonts w:hint="cs"/>
          <w:b/>
          <w:bCs/>
          <w:rtl/>
        </w:rPr>
        <w:t>היועץ המשפטי לממשלה נגד סגל</w:t>
      </w:r>
      <w:r w:rsidRPr="00B255A5">
        <w:rPr>
          <w:rFonts w:hint="cs"/>
          <w:rtl/>
        </w:rPr>
        <w:t xml:space="preserve"> (ניתן ביום 17.3.55). וראו לעיל, פסה"ד בעניין ביטון, הערה 2.</w:t>
      </w:r>
    </w:p>
  </w:footnote>
  <w:footnote w:id="14">
    <w:p w:rsidR="00B255A5" w:rsidRPr="00B255A5" w:rsidRDefault="00B255A5" w:rsidP="00B255A5">
      <w:pPr>
        <w:pStyle w:val="a5"/>
      </w:pPr>
      <w:r w:rsidRPr="00B255A5">
        <w:rPr>
          <w:rStyle w:val="a7"/>
        </w:rPr>
        <w:footnoteRef/>
      </w:r>
      <w:r w:rsidRPr="00B255A5">
        <w:rPr>
          <w:rtl/>
        </w:rPr>
        <w:t xml:space="preserve"> </w:t>
      </w:r>
      <w:r w:rsidRPr="00B255A5">
        <w:rPr>
          <w:rFonts w:hint="cs"/>
          <w:rtl/>
        </w:rPr>
        <w:t xml:space="preserve">ע"פ 396/69 </w:t>
      </w:r>
      <w:r w:rsidRPr="00B255A5">
        <w:rPr>
          <w:rFonts w:hint="cs"/>
          <w:b/>
          <w:bCs/>
          <w:rtl/>
        </w:rPr>
        <w:t xml:space="preserve">נעים אברהם בנו נגד מ"י </w:t>
      </w:r>
      <w:r w:rsidRPr="00B255A5">
        <w:rPr>
          <w:rFonts w:hint="cs"/>
          <w:rtl/>
        </w:rPr>
        <w:t>פד"י כד(1), 561.</w:t>
      </w:r>
    </w:p>
  </w:footnote>
  <w:footnote w:id="15">
    <w:p w:rsidR="00B255A5" w:rsidRPr="00B255A5" w:rsidRDefault="00B255A5" w:rsidP="00B255A5">
      <w:pPr>
        <w:pStyle w:val="a5"/>
        <w:rPr>
          <w:rtl/>
        </w:rPr>
      </w:pPr>
      <w:r w:rsidRPr="00B255A5">
        <w:rPr>
          <w:rStyle w:val="a7"/>
        </w:rPr>
        <w:footnoteRef/>
      </w:r>
      <w:r w:rsidRPr="00B255A5">
        <w:rPr>
          <w:rtl/>
        </w:rPr>
        <w:t xml:space="preserve"> </w:t>
      </w:r>
      <w:r w:rsidRPr="00B255A5">
        <w:rPr>
          <w:rFonts w:hint="cs"/>
          <w:rtl/>
        </w:rPr>
        <w:t>ראו לעיל, פסה"ד בעניין ביטון, הערה 2.</w:t>
      </w:r>
    </w:p>
  </w:footnote>
  <w:footnote w:id="16">
    <w:p w:rsidR="00B255A5" w:rsidRPr="00B255A5" w:rsidRDefault="00B255A5" w:rsidP="00B255A5">
      <w:pPr>
        <w:pStyle w:val="a5"/>
      </w:pPr>
      <w:r w:rsidRPr="00B255A5">
        <w:rPr>
          <w:rStyle w:val="a7"/>
        </w:rPr>
        <w:footnoteRef/>
      </w:r>
      <w:r w:rsidRPr="00B255A5">
        <w:rPr>
          <w:rtl/>
        </w:rPr>
        <w:t xml:space="preserve"> </w:t>
      </w:r>
      <w:r w:rsidRPr="00B255A5">
        <w:rPr>
          <w:rFonts w:hint="cs"/>
          <w:rtl/>
        </w:rPr>
        <w:t xml:space="preserve">ע"פ 46/54 </w:t>
      </w:r>
      <w:r w:rsidRPr="00B255A5">
        <w:rPr>
          <w:rFonts w:hint="cs"/>
          <w:b/>
          <w:bCs/>
          <w:rtl/>
        </w:rPr>
        <w:t>היועץ המשפטי לממשלה נגד סגל</w:t>
      </w:r>
      <w:r w:rsidRPr="00B255A5">
        <w:rPr>
          <w:rFonts w:hint="cs"/>
          <w:rtl/>
        </w:rPr>
        <w:t xml:space="preserve"> (ניתן ביום 17.3.55).</w:t>
      </w:r>
    </w:p>
  </w:footnote>
  <w:footnote w:id="17">
    <w:p w:rsidR="00B255A5" w:rsidRPr="00B255A5" w:rsidRDefault="00B255A5" w:rsidP="00B255A5">
      <w:pPr>
        <w:pStyle w:val="a5"/>
        <w:rPr>
          <w:rtl/>
        </w:rPr>
      </w:pPr>
      <w:r w:rsidRPr="00B255A5">
        <w:rPr>
          <w:rStyle w:val="a7"/>
        </w:rPr>
        <w:footnoteRef/>
      </w:r>
      <w:r w:rsidRPr="00B255A5">
        <w:rPr>
          <w:rtl/>
        </w:rPr>
        <w:t xml:space="preserve"> </w:t>
      </w:r>
      <w:r w:rsidRPr="00B255A5">
        <w:rPr>
          <w:rFonts w:hint="cs"/>
          <w:rtl/>
        </w:rPr>
        <w:t>ראו לעיל, פסה"ד בעניין בנו, הערה 14. וראו לעיל, הערה 2, בפסה"ד בעניין ביטון, בלשונו של השופט ברק:</w:t>
      </w:r>
      <w:r w:rsidRPr="00B255A5">
        <w:rPr>
          <w:rFonts w:hint="cs"/>
          <w:sz w:val="24"/>
          <w:szCs w:val="24"/>
          <w:rtl/>
        </w:rPr>
        <w:t xml:space="preserve"> "</w:t>
      </w:r>
      <w:r w:rsidRPr="00B255A5">
        <w:rPr>
          <w:rFonts w:hint="cs"/>
          <w:rtl/>
        </w:rPr>
        <w:t>המבחן האובייקטיבי מעמיד את "האדם מן היישוב ", "האדם הסביר", "האדם הרגיל", "האדם הממוצע" בנעליו של הממית: הוא שואל את השאלה היפוטתית, כיצד עלול היה אדם זה להגיב בנסיבות העניין..".</w:t>
      </w:r>
    </w:p>
  </w:footnote>
  <w:footnote w:id="18">
    <w:p w:rsidR="00B255A5" w:rsidRPr="00B255A5" w:rsidRDefault="00B255A5" w:rsidP="00B255A5">
      <w:pPr>
        <w:pStyle w:val="a5"/>
      </w:pPr>
      <w:r w:rsidRPr="00B255A5">
        <w:rPr>
          <w:rStyle w:val="a7"/>
        </w:rPr>
        <w:footnoteRef/>
      </w:r>
      <w:r w:rsidRPr="00B255A5">
        <w:rPr>
          <w:rtl/>
        </w:rPr>
        <w:t xml:space="preserve"> </w:t>
      </w:r>
      <w:r w:rsidRPr="00B255A5">
        <w:rPr>
          <w:rFonts w:hint="cs"/>
          <w:rtl/>
        </w:rPr>
        <w:t xml:space="preserve">עפ 1426/12 </w:t>
      </w:r>
      <w:r w:rsidRPr="00B255A5">
        <w:rPr>
          <w:rFonts w:hint="cs"/>
          <w:b/>
          <w:bCs/>
          <w:rtl/>
        </w:rPr>
        <w:t>אחמד מוזפר נ' מדינת ישראל</w:t>
      </w:r>
      <w:r w:rsidRPr="00B255A5">
        <w:rPr>
          <w:rFonts w:hint="cs"/>
          <w:rtl/>
        </w:rPr>
        <w:t xml:space="preserve"> (ניתן ביום 16.1.14).</w:t>
      </w:r>
    </w:p>
    <w:p w:rsidR="00B255A5" w:rsidRPr="00B255A5" w:rsidRDefault="00B255A5" w:rsidP="00B255A5">
      <w:pPr>
        <w:pStyle w:val="a5"/>
      </w:pPr>
    </w:p>
  </w:footnote>
  <w:footnote w:id="19">
    <w:p w:rsidR="00B255A5" w:rsidRPr="00B255A5" w:rsidRDefault="00B255A5" w:rsidP="00B255A5">
      <w:pPr>
        <w:pStyle w:val="a5"/>
        <w:rPr>
          <w:rtl/>
        </w:rPr>
      </w:pPr>
      <w:r w:rsidRPr="00B255A5">
        <w:rPr>
          <w:rStyle w:val="a7"/>
        </w:rPr>
        <w:footnoteRef/>
      </w:r>
      <w:r w:rsidRPr="00B255A5">
        <w:rPr>
          <w:rtl/>
        </w:rPr>
        <w:t xml:space="preserve"> </w:t>
      </w:r>
      <w:r w:rsidRPr="00B255A5">
        <w:rPr>
          <w:rFonts w:hint="cs"/>
          <w:rtl/>
        </w:rPr>
        <w:t xml:space="preserve">מ. קרמניצר ול. לבנון "על היסוד של היעדר קנטור בהגדרת ה"כוונה תחילה" בעקבות דנ"פ 1042/04 ביטון נ' מדינת ישראל, </w:t>
      </w:r>
      <w:r w:rsidRPr="00B255A5">
        <w:rPr>
          <w:rFonts w:hint="cs"/>
          <w:b/>
          <w:bCs/>
          <w:rtl/>
        </w:rPr>
        <w:t>הפרקליט ספר דיויד וינר- על משפט פלילי ואתיקה</w:t>
      </w:r>
      <w:r w:rsidRPr="00B255A5">
        <w:rPr>
          <w:rFonts w:hint="cs"/>
          <w:rtl/>
        </w:rPr>
        <w:t xml:space="preserve">, (2009) עמוד 547. ראו גם יורם שחר "האדם הסביר והמשפט הפלילי" </w:t>
      </w:r>
      <w:r w:rsidRPr="00B255A5">
        <w:rPr>
          <w:rFonts w:hint="cs"/>
          <w:b/>
          <w:bCs/>
          <w:rtl/>
        </w:rPr>
        <w:t>הפרקליט לט</w:t>
      </w:r>
      <w:r w:rsidRPr="00B255A5">
        <w:rPr>
          <w:rFonts w:hint="cs"/>
          <w:rtl/>
        </w:rPr>
        <w:t xml:space="preserve"> (א) (התש"ן- התשנ"א), עמוד 78.</w:t>
      </w:r>
    </w:p>
  </w:footnote>
  <w:footnote w:id="20">
    <w:p w:rsidR="00B255A5" w:rsidRPr="00B255A5" w:rsidRDefault="00B255A5" w:rsidP="00B255A5">
      <w:pPr>
        <w:pStyle w:val="a5"/>
        <w:rPr>
          <w:rtl/>
        </w:rPr>
      </w:pPr>
      <w:r w:rsidRPr="00B255A5">
        <w:rPr>
          <w:rStyle w:val="a7"/>
        </w:rPr>
        <w:footnoteRef/>
      </w:r>
      <w:r w:rsidRPr="00B255A5">
        <w:rPr>
          <w:rtl/>
        </w:rPr>
        <w:t xml:space="preserve"> </w:t>
      </w:r>
      <w:r w:rsidRPr="00B255A5">
        <w:rPr>
          <w:rFonts w:hint="cs"/>
          <w:rtl/>
        </w:rPr>
        <w:t xml:space="preserve">פרופ' ש.ז. פלר </w:t>
      </w:r>
      <w:r w:rsidRPr="00B255A5">
        <w:rPr>
          <w:rFonts w:hint="cs"/>
          <w:b/>
          <w:bCs/>
          <w:rtl/>
        </w:rPr>
        <w:t>יסודות בדיני עונשין</w:t>
      </w:r>
      <w:r w:rsidRPr="00B255A5">
        <w:rPr>
          <w:rFonts w:hint="cs"/>
          <w:rtl/>
        </w:rPr>
        <w:t>, כרך א עמוד 560.</w:t>
      </w:r>
    </w:p>
  </w:footnote>
  <w:footnote w:id="21">
    <w:p w:rsidR="00B255A5" w:rsidRPr="00B255A5" w:rsidRDefault="00B255A5" w:rsidP="00B255A5">
      <w:pPr>
        <w:pStyle w:val="a5"/>
        <w:rPr>
          <w:rFonts w:asciiTheme="minorHAnsi" w:eastAsiaTheme="minorHAnsi" w:hAnsiTheme="minorHAnsi"/>
          <w:snapToGrid/>
          <w:color w:val="auto"/>
          <w:sz w:val="20"/>
          <w:rtl/>
          <w:lang w:eastAsia="en-US"/>
        </w:rPr>
      </w:pPr>
      <w:r w:rsidRPr="00B255A5">
        <w:rPr>
          <w:rStyle w:val="a7"/>
        </w:rPr>
        <w:footnoteRef/>
      </w:r>
      <w:r w:rsidRPr="00B255A5">
        <w:rPr>
          <w:rtl/>
        </w:rPr>
        <w:t xml:space="preserve"> </w:t>
      </w:r>
      <w:r w:rsidRPr="00B255A5">
        <w:rPr>
          <w:rFonts w:asciiTheme="minorHAnsi" w:eastAsiaTheme="minorHAnsi" w:hAnsiTheme="minorHAnsi" w:hint="cs"/>
          <w:snapToGrid/>
          <w:color w:val="auto"/>
          <w:sz w:val="20"/>
          <w:rtl/>
          <w:lang w:eastAsia="en-US"/>
        </w:rPr>
        <w:t xml:space="preserve">עפ 6819/01 </w:t>
      </w:r>
      <w:r w:rsidRPr="00B255A5">
        <w:rPr>
          <w:rFonts w:asciiTheme="minorHAnsi" w:eastAsiaTheme="minorHAnsi" w:hAnsiTheme="minorHAnsi" w:hint="cs"/>
          <w:b/>
          <w:bCs/>
          <w:snapToGrid/>
          <w:color w:val="auto"/>
          <w:sz w:val="20"/>
          <w:rtl/>
          <w:lang w:eastAsia="en-US"/>
        </w:rPr>
        <w:t>אורי גרשוני נ' מדינת ישראל</w:t>
      </w:r>
      <w:r w:rsidRPr="00B255A5">
        <w:rPr>
          <w:rFonts w:asciiTheme="minorHAnsi" w:eastAsiaTheme="minorHAnsi" w:hAnsiTheme="minorHAnsi" w:hint="cs"/>
          <w:snapToGrid/>
          <w:color w:val="auto"/>
          <w:sz w:val="20"/>
          <w:rtl/>
          <w:lang w:eastAsia="en-US"/>
        </w:rPr>
        <w:t xml:space="preserve"> (ניתן ביום 15.6.05).</w:t>
      </w:r>
    </w:p>
  </w:footnote>
  <w:footnote w:id="22">
    <w:p w:rsidR="00B255A5" w:rsidRPr="00B255A5" w:rsidRDefault="00B255A5" w:rsidP="00B255A5">
      <w:pPr>
        <w:spacing w:after="0" w:line="240" w:lineRule="auto"/>
        <w:jc w:val="both"/>
        <w:rPr>
          <w:rFonts w:cs="David"/>
          <w:b/>
          <w:bCs/>
          <w:sz w:val="20"/>
          <w:szCs w:val="20"/>
          <w:rtl/>
        </w:rPr>
      </w:pPr>
      <w:r w:rsidRPr="00B255A5">
        <w:rPr>
          <w:rStyle w:val="a7"/>
        </w:rPr>
        <w:footnoteRef/>
      </w:r>
      <w:r w:rsidRPr="00B255A5">
        <w:rPr>
          <w:rFonts w:cs="David" w:hint="cs"/>
          <w:sz w:val="20"/>
          <w:szCs w:val="20"/>
          <w:rtl/>
        </w:rPr>
        <w:t>ראו לעיל, בפסה"ד בעניין ביטון, הערה 2, השופט ברק המציין כי המבחן האובייקטיבי הכרחי, אך סבור היה שיש להשתמש בו בנפרד, ולא כחלק ממבחן היעדר ההתגרות. יחד עם זאת, ציין שעד שיקבע המחוקק אפשרות להשתמש בדרך אחרת במבחן האובייקטיבי, לא ניתן לוותר על השימוש בו כחלק משאלת היעדר הקינטור.</w:t>
      </w:r>
    </w:p>
    <w:p w:rsidR="00B255A5" w:rsidRPr="00B255A5" w:rsidRDefault="00B255A5" w:rsidP="00B255A5">
      <w:pPr>
        <w:spacing w:after="0" w:line="240" w:lineRule="auto"/>
        <w:jc w:val="both"/>
        <w:rPr>
          <w:rFonts w:cs="David"/>
          <w:sz w:val="20"/>
          <w:szCs w:val="20"/>
          <w:rtl/>
        </w:rPr>
      </w:pPr>
      <w:r w:rsidRPr="00B255A5">
        <w:rPr>
          <w:rFonts w:cs="David" w:hint="cs"/>
          <w:sz w:val="20"/>
          <w:szCs w:val="20"/>
          <w:rtl/>
        </w:rPr>
        <w:t>עוד נקבע בפסיקה כי מלבד התחשבות בקטינותו של הממית, אין להתייחס לתכונותיו של הממית, אופיו, מזגו, מינו, רקע סוציו אקונומי, דתו, עדתו, צבו הנפשי והרוחני ושאר תכונותיו. המבחן האובייקטיבי אינו נושא בתוכו תת קבוצות. ואולם, השופט ברק בפרשת ביטון, סבור שיש להידרש גם למספר נתונים סוביקטיביים במסגרת המבחן האובייקטיבי.</w:t>
      </w:r>
    </w:p>
  </w:footnote>
  <w:footnote w:id="23">
    <w:p w:rsidR="00B255A5" w:rsidRPr="00B255A5" w:rsidRDefault="00B255A5" w:rsidP="00B255A5">
      <w:pPr>
        <w:pStyle w:val="a5"/>
      </w:pPr>
      <w:r w:rsidRPr="00B255A5">
        <w:rPr>
          <w:rStyle w:val="a7"/>
        </w:rPr>
        <w:footnoteRef/>
      </w:r>
      <w:r w:rsidRPr="00B255A5">
        <w:rPr>
          <w:rtl/>
        </w:rPr>
        <w:t xml:space="preserve"> </w:t>
      </w:r>
      <w:hyperlink r:id="rId4" w:history="1">
        <w:r w:rsidRPr="00B255A5">
          <w:rPr>
            <w:sz w:val="20"/>
            <w:rtl/>
          </w:rPr>
          <w:t>דנ"פ</w:t>
        </w:r>
        <w:r w:rsidRPr="00B255A5">
          <w:rPr>
            <w:rtl/>
          </w:rPr>
          <w:t xml:space="preserve"> </w:t>
        </w:r>
        <w:r w:rsidRPr="00B255A5">
          <w:rPr>
            <w:sz w:val="20"/>
            <w:rtl/>
          </w:rPr>
          <w:t>1042/04</w:t>
        </w:r>
      </w:hyperlink>
      <w:r w:rsidRPr="00B255A5">
        <w:rPr>
          <w:sz w:val="20"/>
          <w:rtl/>
        </w:rPr>
        <w:t xml:space="preserve"> </w:t>
      </w:r>
      <w:r w:rsidRPr="00B255A5">
        <w:rPr>
          <w:b/>
          <w:bCs/>
          <w:sz w:val="20"/>
          <w:rtl/>
        </w:rPr>
        <w:t>ביטון נ' מדינת ישראל</w:t>
      </w:r>
      <w:r w:rsidRPr="00B255A5">
        <w:rPr>
          <w:sz w:val="20"/>
          <w:rtl/>
        </w:rPr>
        <w:t xml:space="preserve"> </w:t>
      </w:r>
      <w:r w:rsidRPr="00B255A5">
        <w:rPr>
          <w:rFonts w:ascii="David" w:hAnsi="David"/>
          <w:sz w:val="20"/>
          <w:rtl/>
        </w:rPr>
        <w:t>(</w:t>
      </w:r>
      <w:r w:rsidRPr="00B255A5">
        <w:rPr>
          <w:rFonts w:ascii="David" w:hAnsi="David" w:hint="cs"/>
          <w:sz w:val="20"/>
          <w:rtl/>
        </w:rPr>
        <w:t>ניתן ב</w:t>
      </w:r>
      <w:r w:rsidRPr="00B255A5">
        <w:rPr>
          <w:rFonts w:ascii="David" w:hAnsi="David"/>
          <w:sz w:val="20"/>
          <w:rtl/>
        </w:rPr>
        <w:t>יום 27.11.2006)</w:t>
      </w:r>
      <w:r w:rsidRPr="00B255A5">
        <w:rPr>
          <w:rFonts w:hint="cs"/>
          <w:rtl/>
        </w:rPr>
        <w:t>.</w:t>
      </w:r>
    </w:p>
  </w:footnote>
  <w:footnote w:id="24">
    <w:p w:rsidR="00B255A5" w:rsidRPr="00B255A5" w:rsidRDefault="00B255A5" w:rsidP="00B255A5">
      <w:pPr>
        <w:pStyle w:val="a5"/>
      </w:pPr>
      <w:r w:rsidRPr="00B255A5">
        <w:rPr>
          <w:rStyle w:val="a7"/>
        </w:rPr>
        <w:footnoteRef/>
      </w:r>
      <w:r w:rsidRPr="00B255A5">
        <w:rPr>
          <w:rtl/>
        </w:rPr>
        <w:t xml:space="preserve"> </w:t>
      </w:r>
      <w:r w:rsidRPr="00B255A5">
        <w:rPr>
          <w:rFonts w:hint="cs"/>
          <w:rtl/>
        </w:rPr>
        <w:t xml:space="preserve">ע"פ 746/14 </w:t>
      </w:r>
      <w:r w:rsidRPr="00B255A5">
        <w:rPr>
          <w:rFonts w:hint="cs"/>
          <w:b/>
          <w:bCs/>
          <w:rtl/>
        </w:rPr>
        <w:t>בן היילו ימר נגד מדינת ישראל</w:t>
      </w:r>
      <w:r w:rsidRPr="00B255A5">
        <w:rPr>
          <w:rFonts w:hint="cs"/>
          <w:rtl/>
        </w:rPr>
        <w:t xml:space="preserve"> (ניתן ביום 31.5.16).</w:t>
      </w:r>
    </w:p>
  </w:footnote>
  <w:footnote w:id="25">
    <w:p w:rsidR="00B255A5" w:rsidRPr="00B255A5" w:rsidRDefault="00B255A5" w:rsidP="00B255A5">
      <w:pPr>
        <w:pStyle w:val="a5"/>
        <w:rPr>
          <w:rtl/>
        </w:rPr>
      </w:pPr>
      <w:r w:rsidRPr="00B255A5">
        <w:rPr>
          <w:rStyle w:val="a7"/>
        </w:rPr>
        <w:footnoteRef/>
      </w:r>
      <w:r w:rsidRPr="00B255A5">
        <w:rPr>
          <w:rtl/>
        </w:rPr>
        <w:t xml:space="preserve"> </w:t>
      </w:r>
      <w:r w:rsidRPr="00B255A5">
        <w:rPr>
          <w:rFonts w:asciiTheme="minorHAnsi" w:eastAsiaTheme="minorHAnsi" w:hAnsiTheme="minorHAnsi" w:hint="cs"/>
          <w:snapToGrid/>
          <w:color w:val="auto"/>
          <w:sz w:val="20"/>
          <w:rtl/>
          <w:lang w:eastAsia="en-US"/>
        </w:rPr>
        <w:t xml:space="preserve">עפ 6819/01 </w:t>
      </w:r>
      <w:r w:rsidRPr="00B255A5">
        <w:rPr>
          <w:rFonts w:asciiTheme="minorHAnsi" w:eastAsiaTheme="minorHAnsi" w:hAnsiTheme="minorHAnsi" w:hint="cs"/>
          <w:b/>
          <w:bCs/>
          <w:snapToGrid/>
          <w:color w:val="auto"/>
          <w:sz w:val="20"/>
          <w:rtl/>
          <w:lang w:eastAsia="en-US"/>
        </w:rPr>
        <w:t>אורי גרשוני נ' מדינת ישראל</w:t>
      </w:r>
      <w:r w:rsidRPr="00B255A5">
        <w:rPr>
          <w:rFonts w:asciiTheme="minorHAnsi" w:eastAsiaTheme="minorHAnsi" w:hAnsiTheme="minorHAnsi" w:hint="cs"/>
          <w:snapToGrid/>
          <w:color w:val="auto"/>
          <w:sz w:val="20"/>
          <w:rtl/>
          <w:lang w:eastAsia="en-US"/>
        </w:rPr>
        <w:t xml:space="preserve"> (ניתן ביום 15.6.05).</w:t>
      </w:r>
    </w:p>
  </w:footnote>
  <w:footnote w:id="26">
    <w:p w:rsidR="00B255A5" w:rsidRPr="00B255A5" w:rsidRDefault="00B255A5" w:rsidP="00B255A5">
      <w:pPr>
        <w:pStyle w:val="a5"/>
        <w:rPr>
          <w:rtl/>
        </w:rPr>
      </w:pPr>
      <w:r w:rsidRPr="00B255A5">
        <w:rPr>
          <w:rStyle w:val="a7"/>
        </w:rPr>
        <w:footnoteRef/>
      </w:r>
      <w:r w:rsidRPr="00B255A5">
        <w:rPr>
          <w:rtl/>
        </w:rPr>
        <w:t xml:space="preserve"> </w:t>
      </w:r>
      <w:r w:rsidRPr="00B255A5">
        <w:rPr>
          <w:rFonts w:hint="cs"/>
          <w:rtl/>
        </w:rPr>
        <w:t xml:space="preserve">ע"פ 746/14 </w:t>
      </w:r>
      <w:r w:rsidRPr="00B255A5">
        <w:rPr>
          <w:rFonts w:hint="cs"/>
          <w:b/>
          <w:bCs/>
          <w:rtl/>
        </w:rPr>
        <w:t>בן היילו ימר נגד מדינת ישראל</w:t>
      </w:r>
      <w:r w:rsidRPr="00B255A5">
        <w:rPr>
          <w:rFonts w:hint="cs"/>
          <w:rtl/>
        </w:rPr>
        <w:t xml:space="preserve"> (ניתן ביום 31.5.16).</w:t>
      </w:r>
    </w:p>
  </w:footnote>
  <w:footnote w:id="27">
    <w:p w:rsidR="00627131" w:rsidRDefault="00627131" w:rsidP="00627131">
      <w:pPr>
        <w:pStyle w:val="a5"/>
        <w:rPr>
          <w:rtl/>
        </w:rPr>
      </w:pPr>
      <w:r w:rsidRPr="00B255A5">
        <w:rPr>
          <w:rStyle w:val="a7"/>
        </w:rPr>
        <w:footnoteRef/>
      </w:r>
      <w:r w:rsidRPr="00B255A5">
        <w:rPr>
          <w:rtl/>
        </w:rPr>
        <w:t xml:space="preserve"> </w:t>
      </w:r>
      <w:r w:rsidRPr="00B255A5">
        <w:rPr>
          <w:rFonts w:hint="cs"/>
          <w:rtl/>
        </w:rPr>
        <w:t>שם, ראו פסק דינה של השופטת ברק ארז.</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4D258F"/>
    <w:multiLevelType w:val="hybridMultilevel"/>
    <w:tmpl w:val="3A96E278"/>
    <w:lvl w:ilvl="0" w:tplc="0409000F">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5E7563D"/>
    <w:multiLevelType w:val="hybridMultilevel"/>
    <w:tmpl w:val="A3604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2C3199"/>
    <w:multiLevelType w:val="hybridMultilevel"/>
    <w:tmpl w:val="015C6B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C716A03"/>
    <w:multiLevelType w:val="hybridMultilevel"/>
    <w:tmpl w:val="E46EE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5A5"/>
    <w:rsid w:val="000661D8"/>
    <w:rsid w:val="003D68FC"/>
    <w:rsid w:val="00500AB3"/>
    <w:rsid w:val="0055192B"/>
    <w:rsid w:val="00627131"/>
    <w:rsid w:val="00670F90"/>
    <w:rsid w:val="007176D1"/>
    <w:rsid w:val="008C2DBF"/>
    <w:rsid w:val="00A7172F"/>
    <w:rsid w:val="00AD45D2"/>
    <w:rsid w:val="00B03AFE"/>
    <w:rsid w:val="00B255A5"/>
    <w:rsid w:val="00B85DD9"/>
    <w:rsid w:val="00D30250"/>
    <w:rsid w:val="00E519DE"/>
    <w:rsid w:val="00EA21B6"/>
    <w:rsid w:val="00EA7388"/>
    <w:rsid w:val="00F727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74E018-6F9B-42D3-9187-6F68D776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55A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B255A5"/>
    <w:rPr>
      <w:rFonts w:ascii="Times New Roman" w:hAnsi="Times New Roman" w:cs="Times New Roman"/>
      <w:sz w:val="26"/>
      <w:szCs w:val="26"/>
    </w:rPr>
  </w:style>
  <w:style w:type="paragraph" w:customStyle="1" w:styleId="P22">
    <w:name w:val="P22"/>
    <w:basedOn w:val="a"/>
    <w:rsid w:val="00B255A5"/>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table" w:styleId="a3">
    <w:name w:val="Table Grid"/>
    <w:basedOn w:val="a1"/>
    <w:uiPriority w:val="39"/>
    <w:rsid w:val="00B25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255A5"/>
    <w:pPr>
      <w:ind w:left="720"/>
      <w:contextualSpacing/>
    </w:pPr>
  </w:style>
  <w:style w:type="paragraph" w:styleId="a5">
    <w:name w:val="footnote text"/>
    <w:basedOn w:val="a"/>
    <w:link w:val="a6"/>
    <w:autoRedefine/>
    <w:rsid w:val="00B255A5"/>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rsid w:val="00B255A5"/>
    <w:rPr>
      <w:rFonts w:ascii="Arial" w:eastAsia="Arial Unicode MS" w:hAnsi="Arial" w:cs="David"/>
      <w:snapToGrid w:val="0"/>
      <w:color w:val="000000"/>
      <w:sz w:val="14"/>
      <w:szCs w:val="20"/>
      <w:lang w:eastAsia="ja-JP"/>
    </w:rPr>
  </w:style>
  <w:style w:type="character" w:styleId="a7">
    <w:name w:val="footnote reference"/>
    <w:rsid w:val="00B255A5"/>
    <w:rPr>
      <w:vertAlign w:val="superscript"/>
    </w:rPr>
  </w:style>
  <w:style w:type="paragraph" w:customStyle="1" w:styleId="Ruller5">
    <w:name w:val="Ruller5"/>
    <w:basedOn w:val="a"/>
    <w:rsid w:val="00B255A5"/>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paragraph" w:customStyle="1" w:styleId="Ruller4">
    <w:name w:val="Ruller4"/>
    <w:basedOn w:val="a"/>
    <w:link w:val="Ruller40"/>
    <w:rsid w:val="00B255A5"/>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character" w:customStyle="1" w:styleId="Ruller40">
    <w:name w:val="Ruller4 תו"/>
    <w:basedOn w:val="a0"/>
    <w:link w:val="Ruller4"/>
    <w:locked/>
    <w:rsid w:val="00B255A5"/>
    <w:rPr>
      <w:rFonts w:ascii="Arial TUR" w:hAnsi="Arial TUR" w:cs="FrankRuehl"/>
      <w:spacing w:val="10"/>
      <w:szCs w:val="28"/>
    </w:rPr>
  </w:style>
  <w:style w:type="paragraph" w:styleId="a8">
    <w:name w:val="footer"/>
    <w:basedOn w:val="a"/>
    <w:link w:val="a9"/>
    <w:uiPriority w:val="99"/>
    <w:unhideWhenUsed/>
    <w:rsid w:val="00B255A5"/>
    <w:pPr>
      <w:tabs>
        <w:tab w:val="center" w:pos="4153"/>
        <w:tab w:val="right" w:pos="8306"/>
      </w:tabs>
      <w:spacing w:after="0" w:line="240" w:lineRule="auto"/>
    </w:pPr>
  </w:style>
  <w:style w:type="character" w:customStyle="1" w:styleId="a9">
    <w:name w:val="כותרת תחתונה תו"/>
    <w:basedOn w:val="a0"/>
    <w:link w:val="a8"/>
    <w:uiPriority w:val="99"/>
    <w:rsid w:val="00B255A5"/>
  </w:style>
  <w:style w:type="paragraph" w:customStyle="1" w:styleId="P00">
    <w:name w:val="P00"/>
    <w:rsid w:val="00B255A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255A5"/>
    <w:rPr>
      <w:rFonts w:ascii="Times New Roman" w:hAnsi="Times New Roman" w:cs="Times New Roman"/>
      <w:sz w:val="32"/>
      <w:szCs w:val="32"/>
    </w:rPr>
  </w:style>
  <w:style w:type="paragraph" w:customStyle="1" w:styleId="P11">
    <w:name w:val="P11"/>
    <w:basedOn w:val="P00"/>
    <w:rsid w:val="00B255A5"/>
    <w:pPr>
      <w:tabs>
        <w:tab w:val="clear" w:pos="624"/>
      </w:tabs>
      <w:ind w:right="624"/>
    </w:pPr>
  </w:style>
  <w:style w:type="paragraph" w:customStyle="1" w:styleId="TableText">
    <w:name w:val="Table Text"/>
    <w:basedOn w:val="a"/>
    <w:rsid w:val="00B255A5"/>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B255A5"/>
    <w:pPr>
      <w:ind w:right="0"/>
      <w:jc w:val="both"/>
    </w:pPr>
  </w:style>
  <w:style w:type="paragraph" w:customStyle="1" w:styleId="TableSideHeading">
    <w:name w:val="Table SideHeading"/>
    <w:basedOn w:val="TableText"/>
    <w:rsid w:val="00B255A5"/>
  </w:style>
  <w:style w:type="paragraph" w:customStyle="1" w:styleId="TableInnerSideHeading">
    <w:name w:val="Table InnerSideHeading"/>
    <w:basedOn w:val="TableSideHeading"/>
    <w:rsid w:val="00B255A5"/>
  </w:style>
  <w:style w:type="character" w:styleId="Hyperlink">
    <w:name w:val="Hyperlink"/>
    <w:rsid w:val="00B255A5"/>
    <w:rPr>
      <w:color w:val="0000FF"/>
      <w:u w:val="single"/>
    </w:rPr>
  </w:style>
  <w:style w:type="paragraph" w:customStyle="1" w:styleId="ruller41">
    <w:name w:val="ruller4"/>
    <w:basedOn w:val="a"/>
    <w:rsid w:val="00B255A5"/>
    <w:pPr>
      <w:overflowPunct w:val="0"/>
      <w:autoSpaceDE w:val="0"/>
      <w:autoSpaceDN w:val="0"/>
      <w:spacing w:after="0" w:line="360" w:lineRule="auto"/>
      <w:jc w:val="both"/>
    </w:pPr>
    <w:rPr>
      <w:rFonts w:ascii="Arial TUR" w:eastAsia="Times New Roman" w:hAnsi="Arial TUR" w:cs="Arial TUR"/>
      <w:spacing w:val="10"/>
      <w:lang w:eastAsia="he-IL"/>
    </w:rPr>
  </w:style>
  <w:style w:type="paragraph" w:customStyle="1" w:styleId="ruller50">
    <w:name w:val="ruller5"/>
    <w:basedOn w:val="a"/>
    <w:rsid w:val="00B255A5"/>
    <w:pPr>
      <w:overflowPunct w:val="0"/>
      <w:autoSpaceDE w:val="0"/>
      <w:autoSpaceDN w:val="0"/>
      <w:spacing w:after="0" w:line="240" w:lineRule="auto"/>
      <w:ind w:left="1642" w:right="1282"/>
      <w:jc w:val="both"/>
    </w:pPr>
    <w:rPr>
      <w:rFonts w:ascii="Arial TUR" w:eastAsia="Times New Roman" w:hAnsi="Arial TUR" w:cs="Arial TUR"/>
      <w:spacing w:val="10"/>
      <w:lang w:eastAsia="he-IL"/>
    </w:rPr>
  </w:style>
  <w:style w:type="paragraph" w:customStyle="1" w:styleId="aa">
    <w:name w:val="כללי"/>
    <w:basedOn w:val="a"/>
    <w:rsid w:val="00B255A5"/>
    <w:pPr>
      <w:overflowPunct w:val="0"/>
      <w:autoSpaceDE w:val="0"/>
      <w:autoSpaceDN w:val="0"/>
      <w:adjustRightInd w:val="0"/>
      <w:spacing w:after="240" w:line="280" w:lineRule="exact"/>
      <w:ind w:firstLine="284"/>
      <w:jc w:val="both"/>
      <w:textAlignment w:val="baseline"/>
    </w:pPr>
    <w:rPr>
      <w:rFonts w:ascii="Times New Roman" w:eastAsia="Times New Roman" w:hAnsi="Times New Roman" w:cs="FrankRuehl"/>
      <w:sz w:val="20"/>
      <w:szCs w:val="24"/>
      <w:lang w:eastAsia="he-IL"/>
    </w:rPr>
  </w:style>
  <w:style w:type="paragraph" w:styleId="ab">
    <w:name w:val="Balloon Text"/>
    <w:basedOn w:val="a"/>
    <w:link w:val="ac"/>
    <w:uiPriority w:val="99"/>
    <w:semiHidden/>
    <w:unhideWhenUsed/>
    <w:rsid w:val="00B255A5"/>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B255A5"/>
    <w:rPr>
      <w:rFonts w:ascii="Tahoma" w:hAnsi="Tahoma" w:cs="Tahoma"/>
      <w:sz w:val="16"/>
      <w:szCs w:val="16"/>
    </w:rPr>
  </w:style>
  <w:style w:type="paragraph" w:customStyle="1" w:styleId="BODYVERDICT">
    <w:name w:val="BODY VERDICT"/>
    <w:basedOn w:val="a"/>
    <w:rsid w:val="00B255A5"/>
    <w:pPr>
      <w:overflowPunct w:val="0"/>
      <w:autoSpaceDE w:val="0"/>
      <w:autoSpaceDN w:val="0"/>
      <w:spacing w:after="0" w:line="240" w:lineRule="auto"/>
    </w:pPr>
    <w:rPr>
      <w:rFonts w:ascii="Times New Roman" w:eastAsia="Times New Roman" w:hAnsi="Times New Roman" w:cs="Times New Roman"/>
      <w:spacing w:val="10"/>
    </w:rPr>
  </w:style>
  <w:style w:type="paragraph" w:styleId="ad">
    <w:name w:val="header"/>
    <w:basedOn w:val="a"/>
    <w:link w:val="ae"/>
    <w:rsid w:val="00B255A5"/>
    <w:pPr>
      <w:tabs>
        <w:tab w:val="center" w:pos="4153"/>
        <w:tab w:val="right" w:pos="8306"/>
      </w:tabs>
      <w:bidi w:val="0"/>
      <w:spacing w:after="0" w:line="240" w:lineRule="auto"/>
    </w:pPr>
    <w:rPr>
      <w:rFonts w:ascii="Times New Roman" w:eastAsia="Times New Roman" w:hAnsi="Times New Roman" w:cs="Times New Roman"/>
      <w:sz w:val="24"/>
      <w:szCs w:val="24"/>
      <w:lang w:eastAsia="he-IL"/>
    </w:rPr>
  </w:style>
  <w:style w:type="character" w:customStyle="1" w:styleId="ae">
    <w:name w:val="כותרת עליונה תו"/>
    <w:basedOn w:val="a0"/>
    <w:link w:val="ad"/>
    <w:rsid w:val="00B255A5"/>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inks/psika/?link=&#1506;&#1508;%20655/78&amp;Pvol=&#1500;&#149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evo.co.il/law/70301"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www.nevo.co.il/law/70301" TargetMode="External"/><Relationship Id="rId4" Type="http://schemas.openxmlformats.org/officeDocument/2006/relationships/webSettings" Target="webSettings.xml"/><Relationship Id="rId9" Type="http://schemas.openxmlformats.org/officeDocument/2006/relationships/hyperlink" Target="http://www.nevo.co.il/links/psika/?link=&#1506;&#1508;%20402/87&amp;Pvol=&#1502;&#1489;"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www.nevo.co.il/case/5772632" TargetMode="External"/><Relationship Id="rId2" Type="http://schemas.openxmlformats.org/officeDocument/2006/relationships/hyperlink" Target="http://www.nevo.co.il/case/5743107" TargetMode="External"/><Relationship Id="rId1" Type="http://schemas.openxmlformats.org/officeDocument/2006/relationships/hyperlink" Target="http://www.nevo.co.il/case/5743107" TargetMode="External"/><Relationship Id="rId4" Type="http://schemas.openxmlformats.org/officeDocument/2006/relationships/hyperlink" Target="http://www.nevo.co.il/case/5743107"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BC946E-BB34-452F-84E9-A88E97C53206}"/>
</file>

<file path=customXml/itemProps2.xml><?xml version="1.0" encoding="utf-8"?>
<ds:datastoreItem xmlns:ds="http://schemas.openxmlformats.org/officeDocument/2006/customXml" ds:itemID="{6EFAE2E4-EB0F-4400-A28E-708E91424B54}"/>
</file>

<file path=customXml/itemProps3.xml><?xml version="1.0" encoding="utf-8"?>
<ds:datastoreItem xmlns:ds="http://schemas.openxmlformats.org/officeDocument/2006/customXml" ds:itemID="{7A3BD47E-564E-4AB8-B867-91CFA7AEC8FD}"/>
</file>

<file path=docProps/app.xml><?xml version="1.0" encoding="utf-8"?>
<Properties xmlns="http://schemas.openxmlformats.org/officeDocument/2006/extended-properties" xmlns:vt="http://schemas.openxmlformats.org/officeDocument/2006/docPropsVTypes">
  <Template>Normal</Template>
  <TotalTime>1</TotalTime>
  <Pages>11</Pages>
  <Words>3549</Words>
  <Characters>17745</Characters>
  <Application>Microsoft Office Word</Application>
  <DocSecurity>4</DocSecurity>
  <Lines>147</Lines>
  <Paragraphs>42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חופית עלפי</cp:lastModifiedBy>
  <cp:revision>2</cp:revision>
  <cp:lastPrinted>2018-02-19T15:24:00Z</cp:lastPrinted>
  <dcterms:created xsi:type="dcterms:W3CDTF">2018-02-19T16:00:00Z</dcterms:created>
  <dcterms:modified xsi:type="dcterms:W3CDTF">2018-02-19T16:00:00Z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2065420</vt:r8>
  </property>
</Properties>
</file>