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572150</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A" w14:textId="2772490E" w:rsidR="00E13C27" w:rsidRPr="00CF1AA2" w:rsidRDefault="008F6665" w:rsidP="00AE17D2">
      <w:pPr>
        <w:pStyle w:val="David"/>
        <w:spacing w:line="360" w:lineRule="auto"/>
        <w:ind w:left="3544"/>
        <w:rPr>
          <w:b/>
          <w:bCs/>
          <w:sz w:val="16"/>
          <w:szCs w:val="16"/>
          <w:rtl/>
        </w:rPr>
      </w:pPr>
      <w:bookmarkStart w:id="2" w:name="LGS_Initiators_List"/>
      <w:r>
        <w:rPr>
          <w:b/>
          <w:bCs/>
          <w:rtl/>
        </w:rPr>
        <w:t>יוזמת:</w:t>
      </w:r>
      <w:r>
        <w:tab/>
      </w:r>
      <w:r>
        <w:rPr>
          <w:b/>
          <w:bCs/>
          <w:rtl/>
        </w:rPr>
        <w:t xml:space="preserve">      חברת הכנסת</w:t>
      </w:r>
      <w:bookmarkEnd w:id="2"/>
      <w:r w:rsidR="00B35784" w:rsidRPr="00F67051">
        <w:rPr>
          <w:b/>
          <w:bCs/>
        </w:rPr>
        <w:tab/>
      </w:r>
      <w:bookmarkStart w:id="3" w:name="LGS_PM_Names"/>
      <w:r>
        <w:rPr>
          <w:rFonts w:hint="cs"/>
          <w:b/>
          <w:bCs/>
          <w:rtl/>
        </w:rPr>
        <w:t>שולי מועלם-רפאלי</w:t>
      </w:r>
      <w:bookmarkStart w:id="4" w:name="LGS_Join_List"/>
      <w:bookmarkEnd w:id="3"/>
      <w:r w:rsidR="007D585A">
        <w:rPr>
          <w:rtl/>
        </w:rPr>
        <w:t xml:space="preserve"> </w:t>
      </w:r>
      <w:bookmarkEnd w:id="4"/>
      <w:r w:rsidR="002200A1" w:rsidRPr="00CF1AA2">
        <w:rPr>
          <w:rFonts w:hint="cs"/>
          <w:rtl/>
        </w:rPr>
        <w:tab/>
      </w:r>
      <w:bookmarkStart w:id="5" w:name="LGS_PM_NamesJoin"/>
      <w:r w:rsidR="007D585A">
        <w:rPr>
          <w:rFonts w:hint="cs"/>
          <w:rtl/>
        </w:rPr>
        <w:t xml:space="preserve"> </w:t>
      </w:r>
      <w:bookmarkEnd w:id="5"/>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6" w:name="Private_Number"/>
      <w:r>
        <w:rPr>
          <w:rFonts w:hint="cs"/>
          <w:rtl/>
        </w:rPr>
        <w:t>פ/2843/20</w:t>
      </w:r>
      <w:bookmarkEnd w:id="6"/>
    </w:p>
    <w:p w14:paraId="7F6961AC" w14:textId="77777777" w:rsidR="00E13C27" w:rsidRDefault="00E13C27" w:rsidP="00E13C27">
      <w:pPr>
        <w:spacing w:before="0" w:line="360" w:lineRule="auto"/>
        <w:ind w:left="2880" w:firstLine="720"/>
        <w:rPr>
          <w:rFonts w:cs="David"/>
          <w:sz w:val="26"/>
          <w:szCs w:val="26"/>
          <w:rtl/>
        </w:rPr>
      </w:pPr>
    </w:p>
    <w:p w14:paraId="7F6961AD" w14:textId="392E57C3" w:rsidR="00E13C27" w:rsidRPr="00F67051" w:rsidRDefault="00A443CF" w:rsidP="002A51FB">
      <w:pPr>
        <w:pStyle w:val="HeadHatzaotHok"/>
        <w:rPr>
          <w:rtl/>
        </w:rPr>
      </w:pPr>
      <w:bookmarkStart w:id="7" w:name="LGS_Subject"/>
      <w:r>
        <w:rPr>
          <w:rFonts w:hint="cs"/>
          <w:rtl/>
        </w:rPr>
        <w:t>הצעת חוק שעות עבודה ומנוחה (תיקון – שינוי שבוע העבודה), התשע"ו</w:t>
      </w:r>
      <w:r w:rsidR="002A51FB">
        <w:rPr>
          <w:rFonts w:hint="eastAsia"/>
          <w:rtl/>
        </w:rPr>
        <w:t>–</w:t>
      </w:r>
      <w:r>
        <w:rPr>
          <w:rFonts w:hint="cs"/>
          <w:rtl/>
        </w:rPr>
        <w:t>2016</w:t>
      </w:r>
      <w:bookmarkEnd w:id="7"/>
    </w:p>
    <w:p w14:paraId="7F6961AE" w14:textId="77777777" w:rsidR="00E13C27" w:rsidRDefault="00E13C27" w:rsidP="0021633A">
      <w:pPr>
        <w:pStyle w:val="HeadDivreiHesber"/>
        <w:spacing w:before="0" w:after="0"/>
        <w:rPr>
          <w:rtl/>
        </w:rPr>
      </w:pP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5273"/>
      </w:tblGrid>
      <w:tr w:rsidR="00A36E42" w14:paraId="071E11CC" w14:textId="77777777" w:rsidTr="0026112E">
        <w:trPr>
          <w:cantSplit/>
        </w:trPr>
        <w:tc>
          <w:tcPr>
            <w:tcW w:w="1870" w:type="dxa"/>
          </w:tcPr>
          <w:p w14:paraId="51CFDFFA" w14:textId="77777777" w:rsidR="00A36E42" w:rsidRDefault="00A36E42" w:rsidP="0026112E">
            <w:pPr>
              <w:pStyle w:val="TableSideHeading"/>
              <w:keepLines w:val="0"/>
            </w:pPr>
            <w:r>
              <w:rPr>
                <w:rFonts w:hint="cs"/>
                <w:rtl/>
              </w:rPr>
              <w:t>תיקון סעיף 2</w:t>
            </w:r>
          </w:p>
        </w:tc>
        <w:tc>
          <w:tcPr>
            <w:tcW w:w="624" w:type="dxa"/>
          </w:tcPr>
          <w:p w14:paraId="2ED066B1" w14:textId="77777777" w:rsidR="00A36E42" w:rsidRDefault="00A36E42" w:rsidP="0026112E">
            <w:pPr>
              <w:pStyle w:val="TableText"/>
              <w:keepLines w:val="0"/>
              <w:numPr>
                <w:ilvl w:val="0"/>
                <w:numId w:val="12"/>
              </w:numPr>
            </w:pPr>
          </w:p>
        </w:tc>
        <w:tc>
          <w:tcPr>
            <w:tcW w:w="7145" w:type="dxa"/>
            <w:gridSpan w:val="4"/>
          </w:tcPr>
          <w:p w14:paraId="0C006B39" w14:textId="65B514EE" w:rsidR="00A36E42" w:rsidRPr="00A37FD1" w:rsidRDefault="00A36E42" w:rsidP="0026112E">
            <w:pPr>
              <w:pStyle w:val="TableBlock"/>
            </w:pPr>
            <w:r>
              <w:rPr>
                <w:sz w:val="26"/>
                <w:rtl/>
              </w:rPr>
              <w:t>בחוק שעות עבודה ומנוחה, התשי"א</w:t>
            </w:r>
            <w:r>
              <w:rPr>
                <w:rFonts w:hint="cs"/>
                <w:sz w:val="26"/>
                <w:rtl/>
              </w:rPr>
              <w:t>–</w:t>
            </w:r>
            <w:r>
              <w:rPr>
                <w:sz w:val="26"/>
                <w:rtl/>
              </w:rPr>
              <w:t>1951</w:t>
            </w:r>
            <w:r w:rsidRPr="00A37FD1">
              <w:rPr>
                <w:rStyle w:val="a6"/>
                <w:szCs w:val="20"/>
                <w:rtl/>
              </w:rPr>
              <w:footnoteReference w:id="2"/>
            </w:r>
            <w:r>
              <w:rPr>
                <w:sz w:val="26"/>
                <w:rtl/>
              </w:rPr>
              <w:t xml:space="preserve"> (להלן</w:t>
            </w:r>
            <w:r>
              <w:rPr>
                <w:rFonts w:hint="cs"/>
                <w:sz w:val="26"/>
                <w:rtl/>
              </w:rPr>
              <w:t xml:space="preserve"> –</w:t>
            </w:r>
            <w:r>
              <w:rPr>
                <w:sz w:val="26"/>
                <w:rtl/>
              </w:rPr>
              <w:t xml:space="preserve"> החוק העיקרי), בסעיף 2(א), במקום "שמונה" יבוא "תשע".</w:t>
            </w:r>
            <w:r>
              <w:rPr>
                <w:rtl/>
              </w:rPr>
              <w:t xml:space="preserve"> </w:t>
            </w:r>
          </w:p>
        </w:tc>
      </w:tr>
      <w:tr w:rsidR="00A36E42" w14:paraId="43882AFB" w14:textId="77777777" w:rsidTr="0026112E">
        <w:trPr>
          <w:cantSplit/>
        </w:trPr>
        <w:tc>
          <w:tcPr>
            <w:tcW w:w="1870" w:type="dxa"/>
          </w:tcPr>
          <w:p w14:paraId="279D7968" w14:textId="77777777" w:rsidR="00A36E42" w:rsidRDefault="00A36E42" w:rsidP="0026112E">
            <w:pPr>
              <w:pStyle w:val="TableSideHeading"/>
              <w:keepLines w:val="0"/>
              <w:rPr>
                <w:rtl/>
              </w:rPr>
            </w:pPr>
            <w:r>
              <w:rPr>
                <w:rFonts w:hint="cs"/>
                <w:rtl/>
              </w:rPr>
              <w:t>תיקון סעיף 3</w:t>
            </w:r>
          </w:p>
        </w:tc>
        <w:tc>
          <w:tcPr>
            <w:tcW w:w="624" w:type="dxa"/>
          </w:tcPr>
          <w:p w14:paraId="5F474A65" w14:textId="77777777" w:rsidR="00A36E42" w:rsidRDefault="00A36E42" w:rsidP="0026112E">
            <w:pPr>
              <w:pStyle w:val="TableText"/>
            </w:pPr>
            <w:r>
              <w:rPr>
                <w:rFonts w:hint="cs"/>
                <w:rtl/>
              </w:rPr>
              <w:t>2.</w:t>
            </w:r>
          </w:p>
        </w:tc>
        <w:tc>
          <w:tcPr>
            <w:tcW w:w="7145" w:type="dxa"/>
            <w:gridSpan w:val="4"/>
          </w:tcPr>
          <w:p w14:paraId="4CFDE6B2" w14:textId="77777777" w:rsidR="00A36E42" w:rsidRDefault="00A36E42" w:rsidP="0026112E">
            <w:pPr>
              <w:pStyle w:val="TableBlock"/>
              <w:rPr>
                <w:sz w:val="26"/>
                <w:rtl/>
              </w:rPr>
            </w:pPr>
            <w:r>
              <w:rPr>
                <w:sz w:val="26"/>
                <w:rtl/>
              </w:rPr>
              <w:t>בסעיף 3 לחוק העיקרי, במקום "ארבעים וחמש" יבוא "ארבעים ושלוש".</w:t>
            </w:r>
          </w:p>
        </w:tc>
      </w:tr>
      <w:tr w:rsidR="00A36E42" w14:paraId="2FC955B7" w14:textId="77777777" w:rsidTr="0026112E">
        <w:trPr>
          <w:cantSplit/>
        </w:trPr>
        <w:tc>
          <w:tcPr>
            <w:tcW w:w="1870" w:type="dxa"/>
          </w:tcPr>
          <w:p w14:paraId="59E5C3BC" w14:textId="77777777" w:rsidR="00A36E42" w:rsidRDefault="00A36E42" w:rsidP="0026112E">
            <w:pPr>
              <w:pStyle w:val="TableSideHeading"/>
              <w:keepLines w:val="0"/>
              <w:rPr>
                <w:rtl/>
              </w:rPr>
            </w:pPr>
            <w:r>
              <w:rPr>
                <w:rFonts w:hint="cs"/>
                <w:rtl/>
              </w:rPr>
              <w:t>תיקון סעיף 4</w:t>
            </w:r>
          </w:p>
        </w:tc>
        <w:tc>
          <w:tcPr>
            <w:tcW w:w="624" w:type="dxa"/>
          </w:tcPr>
          <w:p w14:paraId="5E92FA5B" w14:textId="77777777" w:rsidR="00A36E42" w:rsidRDefault="00A36E42" w:rsidP="0026112E">
            <w:pPr>
              <w:pStyle w:val="TableText"/>
              <w:rPr>
                <w:rtl/>
              </w:rPr>
            </w:pPr>
            <w:r>
              <w:rPr>
                <w:rFonts w:hint="cs"/>
                <w:rtl/>
              </w:rPr>
              <w:t>3.</w:t>
            </w:r>
          </w:p>
        </w:tc>
        <w:tc>
          <w:tcPr>
            <w:tcW w:w="7145" w:type="dxa"/>
            <w:gridSpan w:val="4"/>
          </w:tcPr>
          <w:p w14:paraId="479B66F3" w14:textId="77777777" w:rsidR="00A36E42" w:rsidRDefault="00A36E42" w:rsidP="0026112E">
            <w:pPr>
              <w:pStyle w:val="TableBlock"/>
              <w:rPr>
                <w:sz w:val="26"/>
                <w:rtl/>
              </w:rPr>
            </w:pPr>
            <w:r>
              <w:rPr>
                <w:rFonts w:hint="cs"/>
                <w:sz w:val="26"/>
                <w:rtl/>
              </w:rPr>
              <w:t>בסעיף 4(א) לחוק העיקרי, במקום "ארבעים וחמש" יבוא "ארבעים ושלוש".</w:t>
            </w:r>
          </w:p>
        </w:tc>
      </w:tr>
      <w:tr w:rsidR="00A36E42" w14:paraId="04A2CCE8" w14:textId="77777777" w:rsidTr="0026112E">
        <w:trPr>
          <w:cantSplit/>
        </w:trPr>
        <w:tc>
          <w:tcPr>
            <w:tcW w:w="1870" w:type="dxa"/>
          </w:tcPr>
          <w:p w14:paraId="59EA145D" w14:textId="77777777" w:rsidR="00A36E42" w:rsidRDefault="00A36E42" w:rsidP="0026112E">
            <w:pPr>
              <w:pStyle w:val="TableSideHeading"/>
              <w:keepLines w:val="0"/>
              <w:rPr>
                <w:rtl/>
              </w:rPr>
            </w:pPr>
            <w:r>
              <w:rPr>
                <w:rFonts w:hint="cs"/>
                <w:rtl/>
              </w:rPr>
              <w:t>תיקון סעיף 5</w:t>
            </w:r>
          </w:p>
        </w:tc>
        <w:tc>
          <w:tcPr>
            <w:tcW w:w="624" w:type="dxa"/>
          </w:tcPr>
          <w:p w14:paraId="041C072F" w14:textId="77777777" w:rsidR="00A36E42" w:rsidRDefault="00A36E42" w:rsidP="0026112E">
            <w:pPr>
              <w:pStyle w:val="TableText"/>
              <w:rPr>
                <w:rtl/>
              </w:rPr>
            </w:pPr>
            <w:r>
              <w:rPr>
                <w:rFonts w:hint="cs"/>
                <w:rtl/>
              </w:rPr>
              <w:t>4.</w:t>
            </w:r>
          </w:p>
        </w:tc>
        <w:tc>
          <w:tcPr>
            <w:tcW w:w="7145" w:type="dxa"/>
            <w:gridSpan w:val="4"/>
          </w:tcPr>
          <w:p w14:paraId="424C4FEB" w14:textId="77777777" w:rsidR="00A36E42" w:rsidRDefault="00A36E42" w:rsidP="0026112E">
            <w:pPr>
              <w:pStyle w:val="TableBlock"/>
              <w:rPr>
                <w:sz w:val="26"/>
                <w:rtl/>
              </w:rPr>
            </w:pPr>
            <w:r>
              <w:rPr>
                <w:rFonts w:hint="cs"/>
                <w:sz w:val="26"/>
                <w:rtl/>
              </w:rPr>
              <w:t>בסעיף 5(א) לחוק העיקרי, ברישה, במקום "מארבעים וחמש" יבוא "מארבעים ושלוש", ובפסקה (2), במקום "וארבעים וחמש" יבוא "וארבעים ושלוש".</w:t>
            </w:r>
          </w:p>
        </w:tc>
      </w:tr>
      <w:tr w:rsidR="00A36E42" w14:paraId="18CCAF76" w14:textId="77777777" w:rsidTr="0026112E">
        <w:trPr>
          <w:cantSplit/>
        </w:trPr>
        <w:tc>
          <w:tcPr>
            <w:tcW w:w="1870" w:type="dxa"/>
          </w:tcPr>
          <w:p w14:paraId="749B8E49" w14:textId="77777777" w:rsidR="00A36E42" w:rsidRDefault="00A36E42" w:rsidP="0026112E">
            <w:pPr>
              <w:pStyle w:val="TableSideHeading"/>
              <w:keepLines w:val="0"/>
              <w:rPr>
                <w:rtl/>
              </w:rPr>
            </w:pPr>
            <w:r>
              <w:rPr>
                <w:rFonts w:hint="cs"/>
                <w:rtl/>
              </w:rPr>
              <w:t>תיקון סעיף 7</w:t>
            </w:r>
          </w:p>
        </w:tc>
        <w:tc>
          <w:tcPr>
            <w:tcW w:w="624" w:type="dxa"/>
          </w:tcPr>
          <w:p w14:paraId="0EAE7498" w14:textId="77777777" w:rsidR="00A36E42" w:rsidRDefault="00A36E42" w:rsidP="0026112E">
            <w:pPr>
              <w:pStyle w:val="TableText"/>
            </w:pPr>
            <w:r>
              <w:rPr>
                <w:rFonts w:hint="cs"/>
                <w:rtl/>
              </w:rPr>
              <w:t>5.</w:t>
            </w:r>
          </w:p>
        </w:tc>
        <w:tc>
          <w:tcPr>
            <w:tcW w:w="7145" w:type="dxa"/>
            <w:gridSpan w:val="4"/>
          </w:tcPr>
          <w:p w14:paraId="55BB9840" w14:textId="77777777" w:rsidR="00A36E42" w:rsidRDefault="00A36E42" w:rsidP="0026112E">
            <w:pPr>
              <w:pStyle w:val="TableBlock"/>
              <w:rPr>
                <w:sz w:val="26"/>
                <w:rtl/>
              </w:rPr>
            </w:pPr>
            <w:r>
              <w:rPr>
                <w:sz w:val="26"/>
                <w:rtl/>
              </w:rPr>
              <w:t xml:space="preserve">בסעיף 7 לחוק העיקרי </w:t>
            </w:r>
            <w:r>
              <w:rPr>
                <w:rFonts w:hint="cs"/>
                <w:sz w:val="26"/>
                <w:rtl/>
              </w:rPr>
              <w:t>–</w:t>
            </w:r>
          </w:p>
        </w:tc>
      </w:tr>
      <w:tr w:rsidR="00A36E42" w14:paraId="413A1DD7" w14:textId="77777777" w:rsidTr="0026112E">
        <w:trPr>
          <w:cantSplit/>
        </w:trPr>
        <w:tc>
          <w:tcPr>
            <w:tcW w:w="1870" w:type="dxa"/>
          </w:tcPr>
          <w:p w14:paraId="7F73FE08" w14:textId="77777777" w:rsidR="00A36E42" w:rsidRDefault="00A36E42" w:rsidP="0026112E">
            <w:pPr>
              <w:pStyle w:val="TableSideHeading"/>
            </w:pPr>
          </w:p>
        </w:tc>
        <w:tc>
          <w:tcPr>
            <w:tcW w:w="624" w:type="dxa"/>
          </w:tcPr>
          <w:p w14:paraId="1FE573A4" w14:textId="77777777" w:rsidR="00A36E42" w:rsidRDefault="00A36E42" w:rsidP="0026112E">
            <w:pPr>
              <w:pStyle w:val="TableText"/>
            </w:pPr>
          </w:p>
        </w:tc>
        <w:tc>
          <w:tcPr>
            <w:tcW w:w="7145" w:type="dxa"/>
            <w:gridSpan w:val="4"/>
          </w:tcPr>
          <w:p w14:paraId="40922249" w14:textId="77777777" w:rsidR="00A36E42" w:rsidRDefault="00A36E42" w:rsidP="0026112E">
            <w:pPr>
              <w:pStyle w:val="TableBlock"/>
            </w:pPr>
            <w:r>
              <w:rPr>
                <w:rFonts w:hint="cs"/>
                <w:rtl/>
              </w:rPr>
              <w:t>(1)</w:t>
            </w:r>
            <w:r>
              <w:rPr>
                <w:rtl/>
              </w:rPr>
              <w:tab/>
              <w:t>בסעיף קטן (א), במקום "שלושים ושש" יבוא "חמישים ושבע";</w:t>
            </w:r>
          </w:p>
        </w:tc>
      </w:tr>
      <w:tr w:rsidR="00A36E42" w14:paraId="5E43D0C7" w14:textId="77777777" w:rsidTr="0026112E">
        <w:trPr>
          <w:cantSplit/>
        </w:trPr>
        <w:tc>
          <w:tcPr>
            <w:tcW w:w="1870" w:type="dxa"/>
          </w:tcPr>
          <w:p w14:paraId="6D979A58" w14:textId="77777777" w:rsidR="00A36E42" w:rsidRDefault="00A36E42" w:rsidP="0026112E">
            <w:pPr>
              <w:pStyle w:val="TableSideHeading"/>
            </w:pPr>
          </w:p>
        </w:tc>
        <w:tc>
          <w:tcPr>
            <w:tcW w:w="624" w:type="dxa"/>
          </w:tcPr>
          <w:p w14:paraId="6C09089E" w14:textId="77777777" w:rsidR="00A36E42" w:rsidRDefault="00A36E42" w:rsidP="0026112E">
            <w:pPr>
              <w:pStyle w:val="TableText"/>
            </w:pPr>
          </w:p>
        </w:tc>
        <w:tc>
          <w:tcPr>
            <w:tcW w:w="7145" w:type="dxa"/>
            <w:gridSpan w:val="4"/>
          </w:tcPr>
          <w:p w14:paraId="319C8FC2" w14:textId="6D5E9B80" w:rsidR="00A36E42" w:rsidRDefault="00A36E42" w:rsidP="0026112E">
            <w:pPr>
              <w:pStyle w:val="TableBlock"/>
              <w:rPr>
                <w:rtl/>
              </w:rPr>
            </w:pPr>
            <w:r>
              <w:rPr>
                <w:rFonts w:hint="cs"/>
                <w:rtl/>
              </w:rPr>
              <w:t>(2)</w:t>
            </w:r>
            <w:r>
              <w:rPr>
                <w:rtl/>
              </w:rPr>
              <w:tab/>
              <w:t>בסעיף קטן (ב)</w:t>
            </w:r>
            <w:r w:rsidR="00AE17D2">
              <w:rPr>
                <w:rFonts w:hint="cs"/>
                <w:rtl/>
              </w:rPr>
              <w:t xml:space="preserve"> </w:t>
            </w:r>
            <w:r>
              <w:rPr>
                <w:rFonts w:hint="cs"/>
                <w:rtl/>
              </w:rPr>
              <w:t>–</w:t>
            </w:r>
            <w:r>
              <w:t xml:space="preserve">  </w:t>
            </w:r>
          </w:p>
        </w:tc>
      </w:tr>
      <w:tr w:rsidR="00A36E42" w14:paraId="76C07B24" w14:textId="77777777" w:rsidTr="0026112E">
        <w:trPr>
          <w:cantSplit/>
        </w:trPr>
        <w:tc>
          <w:tcPr>
            <w:tcW w:w="1870" w:type="dxa"/>
          </w:tcPr>
          <w:p w14:paraId="6AAD512F" w14:textId="77777777" w:rsidR="00A36E42" w:rsidRDefault="00A36E42" w:rsidP="0026112E">
            <w:pPr>
              <w:pStyle w:val="TableSideHeading"/>
            </w:pPr>
          </w:p>
        </w:tc>
        <w:tc>
          <w:tcPr>
            <w:tcW w:w="624" w:type="dxa"/>
          </w:tcPr>
          <w:p w14:paraId="161071B0" w14:textId="77777777" w:rsidR="00A36E42" w:rsidRDefault="00A36E42" w:rsidP="0026112E">
            <w:pPr>
              <w:pStyle w:val="TableText"/>
            </w:pPr>
          </w:p>
        </w:tc>
        <w:tc>
          <w:tcPr>
            <w:tcW w:w="624" w:type="dxa"/>
          </w:tcPr>
          <w:p w14:paraId="0FE618D9" w14:textId="77777777" w:rsidR="00A36E42" w:rsidRDefault="00A36E42" w:rsidP="0026112E">
            <w:pPr>
              <w:pStyle w:val="TableText"/>
            </w:pPr>
          </w:p>
        </w:tc>
        <w:tc>
          <w:tcPr>
            <w:tcW w:w="6521" w:type="dxa"/>
            <w:gridSpan w:val="3"/>
          </w:tcPr>
          <w:p w14:paraId="0954013F" w14:textId="77777777" w:rsidR="00A36E42" w:rsidRDefault="00A36E42" w:rsidP="0026112E">
            <w:pPr>
              <w:pStyle w:val="TableBlock"/>
            </w:pPr>
            <w:r>
              <w:rPr>
                <w:rFonts w:hint="cs"/>
                <w:rtl/>
              </w:rPr>
              <w:t>(א)</w:t>
            </w:r>
            <w:r>
              <w:rPr>
                <w:rtl/>
              </w:rPr>
              <w:tab/>
              <w:t xml:space="preserve">בפסקה (1), אחרי "יום השבת" יבוא "ואת יום </w:t>
            </w:r>
            <w:r>
              <w:rPr>
                <w:rFonts w:hint="cs"/>
                <w:rtl/>
              </w:rPr>
              <w:t>ה</w:t>
            </w:r>
            <w:r>
              <w:rPr>
                <w:rtl/>
              </w:rPr>
              <w:t>ראשון</w:t>
            </w:r>
            <w:r>
              <w:rPr>
                <w:rFonts w:hint="cs"/>
                <w:rtl/>
              </w:rPr>
              <w:t xml:space="preserve"> כיום מנוחה נוסף</w:t>
            </w:r>
            <w:r>
              <w:rPr>
                <w:rtl/>
              </w:rPr>
              <w:t>";</w:t>
            </w:r>
          </w:p>
        </w:tc>
      </w:tr>
      <w:tr w:rsidR="00A36E42" w14:paraId="40EEA325" w14:textId="77777777" w:rsidTr="0026112E">
        <w:trPr>
          <w:cantSplit/>
        </w:trPr>
        <w:tc>
          <w:tcPr>
            <w:tcW w:w="1870" w:type="dxa"/>
          </w:tcPr>
          <w:p w14:paraId="51410931" w14:textId="77777777" w:rsidR="00A36E42" w:rsidRDefault="00A36E42" w:rsidP="0026112E">
            <w:pPr>
              <w:pStyle w:val="TableSideHeading"/>
            </w:pPr>
          </w:p>
        </w:tc>
        <w:tc>
          <w:tcPr>
            <w:tcW w:w="624" w:type="dxa"/>
          </w:tcPr>
          <w:p w14:paraId="470A730B" w14:textId="77777777" w:rsidR="00A36E42" w:rsidRDefault="00A36E42" w:rsidP="0026112E">
            <w:pPr>
              <w:pStyle w:val="TableText"/>
            </w:pPr>
          </w:p>
        </w:tc>
        <w:tc>
          <w:tcPr>
            <w:tcW w:w="624" w:type="dxa"/>
          </w:tcPr>
          <w:p w14:paraId="76EC4974" w14:textId="77777777" w:rsidR="00A36E42" w:rsidRDefault="00A36E42" w:rsidP="0026112E">
            <w:pPr>
              <w:pStyle w:val="TableText"/>
            </w:pPr>
          </w:p>
        </w:tc>
        <w:tc>
          <w:tcPr>
            <w:tcW w:w="6521" w:type="dxa"/>
            <w:gridSpan w:val="3"/>
          </w:tcPr>
          <w:p w14:paraId="61CAECE3" w14:textId="77777777" w:rsidR="00A36E42" w:rsidRDefault="00A36E42" w:rsidP="0026112E">
            <w:pPr>
              <w:pStyle w:val="TableBlock"/>
            </w:pPr>
            <w:r>
              <w:rPr>
                <w:rFonts w:hint="cs"/>
                <w:rtl/>
              </w:rPr>
              <w:t>(ב)</w:t>
            </w:r>
            <w:r>
              <w:rPr>
                <w:rtl/>
              </w:rPr>
              <w:tab/>
              <w:t>במקום פסקה (2) יבוא:</w:t>
            </w:r>
            <w:r>
              <w:t xml:space="preserve">  </w:t>
            </w:r>
          </w:p>
        </w:tc>
      </w:tr>
      <w:tr w:rsidR="00A36E42" w14:paraId="6E960C16" w14:textId="77777777" w:rsidTr="0026112E">
        <w:trPr>
          <w:cantSplit/>
          <w:trHeight w:val="60"/>
        </w:trPr>
        <w:tc>
          <w:tcPr>
            <w:tcW w:w="1870" w:type="dxa"/>
          </w:tcPr>
          <w:p w14:paraId="1DF5A4C0" w14:textId="77777777" w:rsidR="00A36E42" w:rsidRDefault="00A36E42" w:rsidP="0026112E">
            <w:pPr>
              <w:pStyle w:val="TableSideHeading"/>
              <w:ind w:right="0"/>
            </w:pPr>
          </w:p>
        </w:tc>
        <w:tc>
          <w:tcPr>
            <w:tcW w:w="624" w:type="dxa"/>
          </w:tcPr>
          <w:p w14:paraId="73BE1936" w14:textId="77777777" w:rsidR="00A36E42" w:rsidRDefault="00A36E42" w:rsidP="0026112E">
            <w:pPr>
              <w:pStyle w:val="TableText"/>
              <w:ind w:right="0"/>
              <w:jc w:val="both"/>
            </w:pPr>
          </w:p>
        </w:tc>
        <w:tc>
          <w:tcPr>
            <w:tcW w:w="624" w:type="dxa"/>
          </w:tcPr>
          <w:p w14:paraId="5EDA270C" w14:textId="77777777" w:rsidR="00A36E42" w:rsidRDefault="00A36E42" w:rsidP="0026112E">
            <w:pPr>
              <w:pStyle w:val="TableText"/>
              <w:ind w:right="0"/>
              <w:jc w:val="both"/>
            </w:pPr>
          </w:p>
        </w:tc>
        <w:tc>
          <w:tcPr>
            <w:tcW w:w="624" w:type="dxa"/>
          </w:tcPr>
          <w:p w14:paraId="7218EFEB" w14:textId="77777777" w:rsidR="00A36E42" w:rsidRDefault="00A36E42" w:rsidP="0026112E">
            <w:pPr>
              <w:pStyle w:val="TableText"/>
              <w:ind w:right="0"/>
              <w:jc w:val="both"/>
            </w:pPr>
          </w:p>
        </w:tc>
        <w:tc>
          <w:tcPr>
            <w:tcW w:w="5897" w:type="dxa"/>
            <w:gridSpan w:val="2"/>
          </w:tcPr>
          <w:p w14:paraId="41B8EE2D" w14:textId="77777777" w:rsidR="00A36E42" w:rsidRDefault="00A36E42" w:rsidP="0026112E">
            <w:pPr>
              <w:pStyle w:val="TableBlock"/>
            </w:pPr>
            <w:r>
              <w:rPr>
                <w:rFonts w:hint="cs"/>
                <w:rtl/>
              </w:rPr>
              <w:t>"(2)</w:t>
            </w:r>
            <w:r>
              <w:rPr>
                <w:rtl/>
              </w:rPr>
              <w:tab/>
            </w:r>
            <w:r w:rsidRPr="00E05D63">
              <w:rPr>
                <w:rtl/>
              </w:rPr>
              <w:t xml:space="preserve">לגבי מי שאינו יהודי </w:t>
            </w:r>
            <w:r>
              <w:rPr>
                <w:rFonts w:hint="cs"/>
                <w:rtl/>
              </w:rPr>
              <w:t>–</w:t>
            </w:r>
            <w:r w:rsidRPr="00E05D63">
              <w:rPr>
                <w:rtl/>
              </w:rPr>
              <w:t xml:space="preserve"> את יום השבת ו</w:t>
            </w:r>
            <w:r w:rsidRPr="00E05D63">
              <w:rPr>
                <w:rFonts w:hint="cs"/>
                <w:rtl/>
              </w:rPr>
              <w:t xml:space="preserve">כן </w:t>
            </w:r>
            <w:r w:rsidRPr="00E05D63">
              <w:rPr>
                <w:rtl/>
              </w:rPr>
              <w:t>את יום הראשון או את יום השישי בשבוע, לפי המקובל עליו</w:t>
            </w:r>
            <w:r w:rsidRPr="00E05D63">
              <w:rPr>
                <w:rFonts w:hint="cs"/>
                <w:rtl/>
              </w:rPr>
              <w:t xml:space="preserve"> כיום מנוחה נוסף</w:t>
            </w:r>
            <w:r w:rsidRPr="00E05D63">
              <w:rPr>
                <w:rtl/>
              </w:rPr>
              <w:t>."</w:t>
            </w:r>
            <w:r w:rsidRPr="00E05D63">
              <w:t xml:space="preserve">  </w:t>
            </w:r>
          </w:p>
        </w:tc>
      </w:tr>
      <w:tr w:rsidR="00A36E42" w14:paraId="6CF3A58D" w14:textId="77777777" w:rsidTr="0026112E">
        <w:trPr>
          <w:cantSplit/>
        </w:trPr>
        <w:tc>
          <w:tcPr>
            <w:tcW w:w="1870" w:type="dxa"/>
          </w:tcPr>
          <w:p w14:paraId="0D5A9CBC" w14:textId="77777777" w:rsidR="00A36E42" w:rsidRDefault="00A36E42" w:rsidP="0026112E">
            <w:pPr>
              <w:pStyle w:val="TableSideHeading"/>
            </w:pPr>
            <w:r>
              <w:rPr>
                <w:rFonts w:hint="cs"/>
                <w:rtl/>
              </w:rPr>
              <w:t>תיקון סעיף 8</w:t>
            </w:r>
          </w:p>
        </w:tc>
        <w:tc>
          <w:tcPr>
            <w:tcW w:w="624" w:type="dxa"/>
          </w:tcPr>
          <w:p w14:paraId="683B8B9F" w14:textId="77777777" w:rsidR="00A36E42" w:rsidRDefault="00A36E42" w:rsidP="0026112E">
            <w:pPr>
              <w:pStyle w:val="TableText"/>
            </w:pPr>
            <w:r>
              <w:rPr>
                <w:rFonts w:hint="cs"/>
                <w:rtl/>
              </w:rPr>
              <w:t>6.</w:t>
            </w:r>
          </w:p>
        </w:tc>
        <w:tc>
          <w:tcPr>
            <w:tcW w:w="7145" w:type="dxa"/>
            <w:gridSpan w:val="4"/>
          </w:tcPr>
          <w:p w14:paraId="4F683CDC" w14:textId="77777777" w:rsidR="00A36E42" w:rsidRPr="00AE0A5F" w:rsidRDefault="00A36E42" w:rsidP="0026112E">
            <w:pPr>
              <w:pStyle w:val="TableBlock"/>
            </w:pPr>
            <w:r w:rsidRPr="00AE0A5F">
              <w:rPr>
                <w:rtl/>
              </w:rPr>
              <w:t>בסעיף 8 לחוק העיקרי, במקום "משלושים ושש" יבוא "מחמישים ושבע".</w:t>
            </w:r>
          </w:p>
        </w:tc>
      </w:tr>
      <w:tr w:rsidR="00A36E42" w14:paraId="2AE90E46" w14:textId="77777777" w:rsidTr="0026112E">
        <w:trPr>
          <w:cantSplit/>
        </w:trPr>
        <w:tc>
          <w:tcPr>
            <w:tcW w:w="1870" w:type="dxa"/>
          </w:tcPr>
          <w:p w14:paraId="5A23060F" w14:textId="77777777" w:rsidR="00A36E42" w:rsidRDefault="00A36E42" w:rsidP="0026112E">
            <w:pPr>
              <w:pStyle w:val="TableSideHeading"/>
              <w:rPr>
                <w:rtl/>
              </w:rPr>
            </w:pPr>
            <w:r>
              <w:rPr>
                <w:rFonts w:hint="cs"/>
                <w:rtl/>
              </w:rPr>
              <w:t>תיקון סעיף 9</w:t>
            </w:r>
          </w:p>
        </w:tc>
        <w:tc>
          <w:tcPr>
            <w:tcW w:w="624" w:type="dxa"/>
          </w:tcPr>
          <w:p w14:paraId="0CAC669D" w14:textId="77777777" w:rsidR="00A36E42" w:rsidRDefault="00A36E42" w:rsidP="0026112E">
            <w:pPr>
              <w:pStyle w:val="TableText"/>
              <w:rPr>
                <w:rtl/>
              </w:rPr>
            </w:pPr>
            <w:r>
              <w:rPr>
                <w:rFonts w:hint="cs"/>
                <w:rtl/>
              </w:rPr>
              <w:t>7.</w:t>
            </w:r>
          </w:p>
        </w:tc>
        <w:tc>
          <w:tcPr>
            <w:tcW w:w="7145" w:type="dxa"/>
            <w:gridSpan w:val="4"/>
          </w:tcPr>
          <w:p w14:paraId="4CE93D7F" w14:textId="77777777" w:rsidR="00A36E42" w:rsidRDefault="00A36E42" w:rsidP="0026112E">
            <w:pPr>
              <w:pStyle w:val="TableBlock"/>
              <w:rPr>
                <w:sz w:val="26"/>
                <w:rtl/>
              </w:rPr>
            </w:pPr>
            <w:r>
              <w:rPr>
                <w:rFonts w:hint="cs"/>
                <w:sz w:val="26"/>
                <w:rtl/>
              </w:rPr>
              <w:t xml:space="preserve">בסעיף 9 לחוק העיקרי </w:t>
            </w:r>
            <w:r>
              <w:rPr>
                <w:rFonts w:hint="eastAsia"/>
                <w:sz w:val="26"/>
                <w:rtl/>
              </w:rPr>
              <w:t>–</w:t>
            </w:r>
          </w:p>
        </w:tc>
      </w:tr>
      <w:tr w:rsidR="00A36E42" w14:paraId="5BE5DF09" w14:textId="77777777" w:rsidTr="0026112E">
        <w:trPr>
          <w:cantSplit/>
        </w:trPr>
        <w:tc>
          <w:tcPr>
            <w:tcW w:w="1870" w:type="dxa"/>
          </w:tcPr>
          <w:p w14:paraId="49D564CD" w14:textId="77777777" w:rsidR="00A36E42" w:rsidRDefault="00A36E42" w:rsidP="0026112E">
            <w:pPr>
              <w:pStyle w:val="TableSideHeading"/>
              <w:ind w:right="0"/>
            </w:pPr>
          </w:p>
        </w:tc>
        <w:tc>
          <w:tcPr>
            <w:tcW w:w="624" w:type="dxa"/>
          </w:tcPr>
          <w:p w14:paraId="1A88F05B" w14:textId="77777777" w:rsidR="00A36E42" w:rsidRDefault="00A36E42" w:rsidP="0026112E">
            <w:pPr>
              <w:pStyle w:val="TableText"/>
              <w:ind w:right="0"/>
              <w:jc w:val="both"/>
            </w:pPr>
          </w:p>
        </w:tc>
        <w:tc>
          <w:tcPr>
            <w:tcW w:w="7145" w:type="dxa"/>
            <w:gridSpan w:val="4"/>
          </w:tcPr>
          <w:p w14:paraId="12798B68" w14:textId="77777777" w:rsidR="00A36E42" w:rsidRDefault="00A36E42" w:rsidP="0026112E">
            <w:pPr>
              <w:pStyle w:val="TableBlock"/>
            </w:pPr>
            <w:r>
              <w:rPr>
                <w:rFonts w:hint="cs"/>
                <w:rtl/>
              </w:rPr>
              <w:t>(1)</w:t>
            </w:r>
            <w:r>
              <w:rPr>
                <w:rtl/>
              </w:rPr>
              <w:tab/>
            </w:r>
            <w:r w:rsidRPr="00E05D63">
              <w:rPr>
                <w:rtl/>
              </w:rPr>
              <w:t>האמור בו יסומן "(א)"</w:t>
            </w:r>
            <w:r>
              <w:rPr>
                <w:rFonts w:hint="cs"/>
                <w:rtl/>
              </w:rPr>
              <w:t>,</w:t>
            </w:r>
            <w:r w:rsidRPr="00E05D63">
              <w:rPr>
                <w:rFonts w:hint="cs"/>
                <w:rtl/>
              </w:rPr>
              <w:t xml:space="preserve"> ו</w:t>
            </w:r>
            <w:r>
              <w:rPr>
                <w:rFonts w:hint="cs"/>
                <w:rtl/>
              </w:rPr>
              <w:t xml:space="preserve">בסופו יבוא "או שהיא מותרת לפי סעיף </w:t>
            </w:r>
            <w:r>
              <w:rPr>
                <w:rtl/>
              </w:rPr>
              <w:br/>
            </w:r>
            <w:r>
              <w:rPr>
                <w:rFonts w:hint="cs"/>
                <w:rtl/>
              </w:rPr>
              <w:t>קטן (ב)";</w:t>
            </w:r>
          </w:p>
        </w:tc>
      </w:tr>
      <w:tr w:rsidR="00A36E42" w14:paraId="52BF1AC1" w14:textId="77777777" w:rsidTr="0026112E">
        <w:trPr>
          <w:cantSplit/>
        </w:trPr>
        <w:tc>
          <w:tcPr>
            <w:tcW w:w="1870" w:type="dxa"/>
          </w:tcPr>
          <w:p w14:paraId="1CAA3656" w14:textId="77777777" w:rsidR="00A36E42" w:rsidRDefault="00A36E42" w:rsidP="0026112E">
            <w:pPr>
              <w:pStyle w:val="TableSideHeading"/>
              <w:ind w:right="0"/>
            </w:pPr>
          </w:p>
        </w:tc>
        <w:tc>
          <w:tcPr>
            <w:tcW w:w="624" w:type="dxa"/>
          </w:tcPr>
          <w:p w14:paraId="48F34175" w14:textId="77777777" w:rsidR="00A36E42" w:rsidRDefault="00A36E42" w:rsidP="0026112E">
            <w:pPr>
              <w:pStyle w:val="TableText"/>
              <w:ind w:right="0"/>
              <w:jc w:val="both"/>
            </w:pPr>
          </w:p>
        </w:tc>
        <w:tc>
          <w:tcPr>
            <w:tcW w:w="7145" w:type="dxa"/>
            <w:gridSpan w:val="4"/>
          </w:tcPr>
          <w:p w14:paraId="3722F288" w14:textId="77777777" w:rsidR="00A36E42" w:rsidRDefault="00A36E42" w:rsidP="0026112E">
            <w:pPr>
              <w:pStyle w:val="TableBlock"/>
              <w:rPr>
                <w:rtl/>
              </w:rPr>
            </w:pPr>
            <w:r>
              <w:rPr>
                <w:rFonts w:hint="cs"/>
                <w:rtl/>
              </w:rPr>
              <w:t>(2)</w:t>
            </w:r>
            <w:r>
              <w:rPr>
                <w:rtl/>
              </w:rPr>
              <w:tab/>
            </w:r>
            <w:r>
              <w:rPr>
                <w:rFonts w:hint="cs"/>
                <w:rtl/>
              </w:rPr>
              <w:t>אחרי סעיף קטן (א) יבוא:</w:t>
            </w:r>
          </w:p>
        </w:tc>
      </w:tr>
      <w:tr w:rsidR="00A36E42" w14:paraId="0F911D6E" w14:textId="77777777" w:rsidTr="0026112E">
        <w:trPr>
          <w:cantSplit/>
        </w:trPr>
        <w:tc>
          <w:tcPr>
            <w:tcW w:w="1870" w:type="dxa"/>
          </w:tcPr>
          <w:p w14:paraId="087245AB" w14:textId="77777777" w:rsidR="00A36E42" w:rsidRDefault="00A36E42" w:rsidP="0026112E">
            <w:pPr>
              <w:pStyle w:val="TableSideHeading"/>
              <w:ind w:right="0"/>
            </w:pPr>
          </w:p>
        </w:tc>
        <w:tc>
          <w:tcPr>
            <w:tcW w:w="624" w:type="dxa"/>
          </w:tcPr>
          <w:p w14:paraId="22E765A6" w14:textId="77777777" w:rsidR="00A36E42" w:rsidRDefault="00A36E42" w:rsidP="0026112E">
            <w:pPr>
              <w:pStyle w:val="TableText"/>
              <w:ind w:right="0"/>
              <w:jc w:val="both"/>
            </w:pPr>
          </w:p>
        </w:tc>
        <w:tc>
          <w:tcPr>
            <w:tcW w:w="624" w:type="dxa"/>
          </w:tcPr>
          <w:p w14:paraId="22335172" w14:textId="77777777" w:rsidR="00A36E42" w:rsidRDefault="00A36E42" w:rsidP="0026112E">
            <w:pPr>
              <w:pStyle w:val="TableText"/>
              <w:ind w:right="0"/>
              <w:jc w:val="both"/>
            </w:pPr>
          </w:p>
        </w:tc>
        <w:tc>
          <w:tcPr>
            <w:tcW w:w="6521" w:type="dxa"/>
            <w:gridSpan w:val="3"/>
          </w:tcPr>
          <w:p w14:paraId="25C84879" w14:textId="4461EA3D" w:rsidR="00A36E42" w:rsidRDefault="00A36E42" w:rsidP="00F27FD9">
            <w:pPr>
              <w:pStyle w:val="TableBlock"/>
              <w:rPr>
                <w:rtl/>
              </w:rPr>
            </w:pPr>
            <w:r>
              <w:rPr>
                <w:rFonts w:hint="cs"/>
                <w:rtl/>
              </w:rPr>
              <w:t>"(ב)</w:t>
            </w:r>
            <w:r>
              <w:rPr>
                <w:rtl/>
              </w:rPr>
              <w:tab/>
            </w:r>
            <w:r w:rsidR="00F27FD9">
              <w:rPr>
                <w:rFonts w:hint="cs"/>
                <w:rtl/>
              </w:rPr>
              <w:t>העסקת</w:t>
            </w:r>
            <w:r w:rsidR="00F27FD9" w:rsidRPr="00E05D63">
              <w:rPr>
                <w:rtl/>
              </w:rPr>
              <w:t xml:space="preserve"> </w:t>
            </w:r>
            <w:r w:rsidRPr="00E05D63">
              <w:rPr>
                <w:rtl/>
              </w:rPr>
              <w:t xml:space="preserve">עובד ביום </w:t>
            </w:r>
            <w:r w:rsidRPr="00E05D63">
              <w:rPr>
                <w:rFonts w:hint="cs"/>
                <w:rtl/>
              </w:rPr>
              <w:t>שהוא לגביו יום מנוחה נוסף</w:t>
            </w:r>
            <w:r w:rsidRPr="00E05D63">
              <w:rPr>
                <w:rtl/>
              </w:rPr>
              <w:t xml:space="preserve"> מותרת לצורך קיום –</w:t>
            </w:r>
          </w:p>
        </w:tc>
      </w:tr>
      <w:tr w:rsidR="00A36E42" w14:paraId="692D858A" w14:textId="77777777" w:rsidTr="0026112E">
        <w:trPr>
          <w:cantSplit/>
          <w:trHeight w:val="60"/>
        </w:trPr>
        <w:tc>
          <w:tcPr>
            <w:tcW w:w="1870" w:type="dxa"/>
          </w:tcPr>
          <w:p w14:paraId="4D22C5C6" w14:textId="77777777" w:rsidR="00A36E42" w:rsidRDefault="00A36E42" w:rsidP="0026112E">
            <w:pPr>
              <w:pStyle w:val="TableSideHeading"/>
              <w:ind w:right="0"/>
            </w:pPr>
          </w:p>
        </w:tc>
        <w:tc>
          <w:tcPr>
            <w:tcW w:w="624" w:type="dxa"/>
          </w:tcPr>
          <w:p w14:paraId="4A0A1B57" w14:textId="77777777" w:rsidR="00A36E42" w:rsidRDefault="00A36E42" w:rsidP="0026112E">
            <w:pPr>
              <w:pStyle w:val="TableText"/>
              <w:ind w:right="0"/>
              <w:jc w:val="both"/>
            </w:pPr>
          </w:p>
        </w:tc>
        <w:tc>
          <w:tcPr>
            <w:tcW w:w="624" w:type="dxa"/>
          </w:tcPr>
          <w:p w14:paraId="00C7AD5B" w14:textId="77777777" w:rsidR="00A36E42" w:rsidRDefault="00A36E42" w:rsidP="0026112E">
            <w:pPr>
              <w:pStyle w:val="TableText"/>
              <w:ind w:right="0"/>
              <w:jc w:val="both"/>
            </w:pPr>
          </w:p>
        </w:tc>
        <w:tc>
          <w:tcPr>
            <w:tcW w:w="624" w:type="dxa"/>
          </w:tcPr>
          <w:p w14:paraId="075219E2" w14:textId="77777777" w:rsidR="00A36E42" w:rsidRDefault="00A36E42" w:rsidP="0026112E">
            <w:pPr>
              <w:pStyle w:val="TableText"/>
              <w:ind w:right="0"/>
              <w:jc w:val="both"/>
            </w:pPr>
          </w:p>
        </w:tc>
        <w:tc>
          <w:tcPr>
            <w:tcW w:w="5897" w:type="dxa"/>
            <w:gridSpan w:val="2"/>
          </w:tcPr>
          <w:p w14:paraId="73B7B1D1" w14:textId="77777777" w:rsidR="00A36E42" w:rsidRDefault="00A36E42" w:rsidP="0026112E">
            <w:pPr>
              <w:pStyle w:val="TableBlock"/>
            </w:pPr>
            <w:r>
              <w:rPr>
                <w:rFonts w:hint="cs"/>
                <w:rtl/>
              </w:rPr>
              <w:t>(1)</w:t>
            </w:r>
            <w:r>
              <w:rPr>
                <w:rtl/>
              </w:rPr>
              <w:tab/>
            </w:r>
            <w:r w:rsidRPr="00E05D63">
              <w:rPr>
                <w:rtl/>
              </w:rPr>
              <w:t>פעולות חינוך, תרבות ושירותים נלווים;</w:t>
            </w:r>
            <w:r w:rsidRPr="00E05D63">
              <w:t xml:space="preserve">  </w:t>
            </w:r>
          </w:p>
        </w:tc>
      </w:tr>
      <w:tr w:rsidR="00A36E42" w14:paraId="6EBC2F2C" w14:textId="77777777" w:rsidTr="0026112E">
        <w:trPr>
          <w:cantSplit/>
          <w:trHeight w:val="60"/>
        </w:trPr>
        <w:tc>
          <w:tcPr>
            <w:tcW w:w="1870" w:type="dxa"/>
          </w:tcPr>
          <w:p w14:paraId="1268E2DE" w14:textId="77777777" w:rsidR="00A36E42" w:rsidRDefault="00A36E42" w:rsidP="0026112E">
            <w:pPr>
              <w:pStyle w:val="TableSideHeading"/>
              <w:ind w:right="0"/>
            </w:pPr>
          </w:p>
        </w:tc>
        <w:tc>
          <w:tcPr>
            <w:tcW w:w="624" w:type="dxa"/>
          </w:tcPr>
          <w:p w14:paraId="5CD4090E" w14:textId="77777777" w:rsidR="00A36E42" w:rsidRDefault="00A36E42" w:rsidP="0026112E">
            <w:pPr>
              <w:pStyle w:val="TableText"/>
              <w:ind w:right="0"/>
              <w:jc w:val="both"/>
            </w:pPr>
          </w:p>
        </w:tc>
        <w:tc>
          <w:tcPr>
            <w:tcW w:w="624" w:type="dxa"/>
          </w:tcPr>
          <w:p w14:paraId="4D6C56F2" w14:textId="77777777" w:rsidR="00A36E42" w:rsidRDefault="00A36E42" w:rsidP="0026112E">
            <w:pPr>
              <w:pStyle w:val="TableText"/>
              <w:ind w:right="0"/>
              <w:jc w:val="both"/>
            </w:pPr>
          </w:p>
        </w:tc>
        <w:tc>
          <w:tcPr>
            <w:tcW w:w="624" w:type="dxa"/>
          </w:tcPr>
          <w:p w14:paraId="50505B3A" w14:textId="77777777" w:rsidR="00A36E42" w:rsidRDefault="00A36E42" w:rsidP="0026112E">
            <w:pPr>
              <w:pStyle w:val="TableText"/>
              <w:ind w:right="0"/>
              <w:jc w:val="both"/>
            </w:pPr>
          </w:p>
        </w:tc>
        <w:tc>
          <w:tcPr>
            <w:tcW w:w="5897" w:type="dxa"/>
            <w:gridSpan w:val="2"/>
          </w:tcPr>
          <w:p w14:paraId="35C8ADB1" w14:textId="77777777" w:rsidR="00A36E42" w:rsidRDefault="00A36E42" w:rsidP="0026112E">
            <w:pPr>
              <w:pStyle w:val="TableBlock"/>
            </w:pPr>
            <w:r>
              <w:rPr>
                <w:rFonts w:hint="cs"/>
                <w:rtl/>
              </w:rPr>
              <w:t>(2)</w:t>
            </w:r>
            <w:r>
              <w:rPr>
                <w:rtl/>
              </w:rPr>
              <w:tab/>
            </w:r>
            <w:r w:rsidRPr="00E05D63">
              <w:rPr>
                <w:rtl/>
              </w:rPr>
              <w:t>שירותי תחבורה ושירותים נלווים;</w:t>
            </w:r>
            <w:r w:rsidRPr="00E05D63">
              <w:t xml:space="preserve">  </w:t>
            </w:r>
          </w:p>
        </w:tc>
      </w:tr>
      <w:tr w:rsidR="00A36E42" w14:paraId="5F2EDF96" w14:textId="77777777" w:rsidTr="0026112E">
        <w:trPr>
          <w:cantSplit/>
          <w:trHeight w:val="60"/>
        </w:trPr>
        <w:tc>
          <w:tcPr>
            <w:tcW w:w="1870" w:type="dxa"/>
          </w:tcPr>
          <w:p w14:paraId="446A9CF3" w14:textId="77777777" w:rsidR="00A36E42" w:rsidRDefault="00A36E42" w:rsidP="0026112E">
            <w:pPr>
              <w:pStyle w:val="TableSideHeading"/>
              <w:ind w:right="0"/>
            </w:pPr>
          </w:p>
        </w:tc>
        <w:tc>
          <w:tcPr>
            <w:tcW w:w="624" w:type="dxa"/>
          </w:tcPr>
          <w:p w14:paraId="4913FAC2" w14:textId="77777777" w:rsidR="00A36E42" w:rsidRDefault="00A36E42" w:rsidP="0026112E">
            <w:pPr>
              <w:pStyle w:val="TableText"/>
              <w:ind w:right="0"/>
              <w:jc w:val="both"/>
            </w:pPr>
          </w:p>
        </w:tc>
        <w:tc>
          <w:tcPr>
            <w:tcW w:w="624" w:type="dxa"/>
          </w:tcPr>
          <w:p w14:paraId="1E87AE35" w14:textId="77777777" w:rsidR="00A36E42" w:rsidRDefault="00A36E42" w:rsidP="0026112E">
            <w:pPr>
              <w:pStyle w:val="TableText"/>
              <w:ind w:right="0"/>
              <w:jc w:val="both"/>
            </w:pPr>
          </w:p>
        </w:tc>
        <w:tc>
          <w:tcPr>
            <w:tcW w:w="624" w:type="dxa"/>
          </w:tcPr>
          <w:p w14:paraId="5632F6E7" w14:textId="77777777" w:rsidR="00A36E42" w:rsidRDefault="00A36E42" w:rsidP="0026112E">
            <w:pPr>
              <w:pStyle w:val="TableText"/>
              <w:ind w:right="0"/>
              <w:jc w:val="both"/>
            </w:pPr>
          </w:p>
        </w:tc>
        <w:tc>
          <w:tcPr>
            <w:tcW w:w="5897" w:type="dxa"/>
            <w:gridSpan w:val="2"/>
          </w:tcPr>
          <w:p w14:paraId="7C36D8FA" w14:textId="77777777" w:rsidR="00A36E42" w:rsidRDefault="00A36E42" w:rsidP="0026112E">
            <w:pPr>
              <w:pStyle w:val="TableBlock"/>
            </w:pPr>
            <w:r>
              <w:rPr>
                <w:rFonts w:hint="cs"/>
                <w:rtl/>
              </w:rPr>
              <w:t>(3)</w:t>
            </w:r>
            <w:r>
              <w:rPr>
                <w:rtl/>
              </w:rPr>
              <w:tab/>
            </w:r>
            <w:r w:rsidRPr="00E05D63">
              <w:rPr>
                <w:rtl/>
              </w:rPr>
              <w:t>מסחר קמעונאי ושירותים נלווים;</w:t>
            </w:r>
            <w:r w:rsidRPr="00E05D63">
              <w:t xml:space="preserve">  </w:t>
            </w:r>
          </w:p>
        </w:tc>
      </w:tr>
      <w:tr w:rsidR="00A36E42" w14:paraId="3BB82CAF" w14:textId="77777777" w:rsidTr="0026112E">
        <w:trPr>
          <w:cantSplit/>
          <w:trHeight w:val="60"/>
        </w:trPr>
        <w:tc>
          <w:tcPr>
            <w:tcW w:w="1870" w:type="dxa"/>
          </w:tcPr>
          <w:p w14:paraId="24446592" w14:textId="77777777" w:rsidR="00A36E42" w:rsidRDefault="00A36E42" w:rsidP="0026112E">
            <w:pPr>
              <w:pStyle w:val="TableSideHeading"/>
              <w:ind w:right="0"/>
            </w:pPr>
          </w:p>
        </w:tc>
        <w:tc>
          <w:tcPr>
            <w:tcW w:w="624" w:type="dxa"/>
          </w:tcPr>
          <w:p w14:paraId="6EF950FA" w14:textId="77777777" w:rsidR="00A36E42" w:rsidRDefault="00A36E42" w:rsidP="0026112E">
            <w:pPr>
              <w:pStyle w:val="TableText"/>
              <w:ind w:right="0"/>
              <w:jc w:val="both"/>
            </w:pPr>
          </w:p>
        </w:tc>
        <w:tc>
          <w:tcPr>
            <w:tcW w:w="624" w:type="dxa"/>
          </w:tcPr>
          <w:p w14:paraId="6DA476D6" w14:textId="77777777" w:rsidR="00A36E42" w:rsidRDefault="00A36E42" w:rsidP="0026112E">
            <w:pPr>
              <w:pStyle w:val="TableText"/>
              <w:ind w:right="0"/>
              <w:jc w:val="both"/>
            </w:pPr>
          </w:p>
        </w:tc>
        <w:tc>
          <w:tcPr>
            <w:tcW w:w="624" w:type="dxa"/>
          </w:tcPr>
          <w:p w14:paraId="596FDEDC" w14:textId="77777777" w:rsidR="00A36E42" w:rsidRDefault="00A36E42" w:rsidP="0026112E">
            <w:pPr>
              <w:pStyle w:val="TableText"/>
              <w:ind w:right="0"/>
              <w:jc w:val="both"/>
            </w:pPr>
          </w:p>
        </w:tc>
        <w:tc>
          <w:tcPr>
            <w:tcW w:w="5897" w:type="dxa"/>
            <w:gridSpan w:val="2"/>
          </w:tcPr>
          <w:p w14:paraId="33C58626" w14:textId="77777777" w:rsidR="00A36E42" w:rsidRDefault="00A36E42" w:rsidP="0026112E">
            <w:pPr>
              <w:pStyle w:val="TableBlock"/>
            </w:pPr>
            <w:r>
              <w:rPr>
                <w:rFonts w:hint="cs"/>
                <w:rtl/>
              </w:rPr>
              <w:t>(4)</w:t>
            </w:r>
            <w:r>
              <w:rPr>
                <w:rtl/>
              </w:rPr>
              <w:tab/>
            </w:r>
            <w:r w:rsidRPr="00E05D63">
              <w:rPr>
                <w:rtl/>
              </w:rPr>
              <w:t>פעילותם של מפעלי תעשייה;</w:t>
            </w:r>
            <w:r w:rsidRPr="00E05D63">
              <w:t xml:space="preserve">  </w:t>
            </w:r>
          </w:p>
        </w:tc>
      </w:tr>
      <w:tr w:rsidR="00A36E42" w14:paraId="1151B157" w14:textId="77777777" w:rsidTr="0026112E">
        <w:trPr>
          <w:cantSplit/>
          <w:trHeight w:val="60"/>
        </w:trPr>
        <w:tc>
          <w:tcPr>
            <w:tcW w:w="1870" w:type="dxa"/>
          </w:tcPr>
          <w:p w14:paraId="2396F6FD" w14:textId="77777777" w:rsidR="00A36E42" w:rsidRDefault="00A36E42" w:rsidP="0026112E">
            <w:pPr>
              <w:pStyle w:val="TableSideHeading"/>
              <w:ind w:right="0"/>
            </w:pPr>
          </w:p>
        </w:tc>
        <w:tc>
          <w:tcPr>
            <w:tcW w:w="624" w:type="dxa"/>
          </w:tcPr>
          <w:p w14:paraId="718E1156" w14:textId="77777777" w:rsidR="00A36E42" w:rsidRDefault="00A36E42" w:rsidP="0026112E">
            <w:pPr>
              <w:pStyle w:val="TableText"/>
              <w:ind w:right="0"/>
              <w:jc w:val="both"/>
            </w:pPr>
          </w:p>
        </w:tc>
        <w:tc>
          <w:tcPr>
            <w:tcW w:w="624" w:type="dxa"/>
          </w:tcPr>
          <w:p w14:paraId="723C10BE" w14:textId="77777777" w:rsidR="00A36E42" w:rsidRDefault="00A36E42" w:rsidP="0026112E">
            <w:pPr>
              <w:pStyle w:val="TableText"/>
              <w:ind w:right="0"/>
              <w:jc w:val="both"/>
            </w:pPr>
          </w:p>
        </w:tc>
        <w:tc>
          <w:tcPr>
            <w:tcW w:w="624" w:type="dxa"/>
          </w:tcPr>
          <w:p w14:paraId="055B36A6" w14:textId="77777777" w:rsidR="00A36E42" w:rsidRDefault="00A36E42" w:rsidP="0026112E">
            <w:pPr>
              <w:pStyle w:val="TableText"/>
              <w:ind w:right="0"/>
              <w:jc w:val="both"/>
            </w:pPr>
          </w:p>
        </w:tc>
        <w:tc>
          <w:tcPr>
            <w:tcW w:w="624" w:type="dxa"/>
          </w:tcPr>
          <w:p w14:paraId="174C27E5" w14:textId="77777777" w:rsidR="00A36E42" w:rsidRDefault="00A36E42" w:rsidP="0026112E">
            <w:pPr>
              <w:pStyle w:val="TableText"/>
              <w:ind w:right="0"/>
              <w:jc w:val="both"/>
            </w:pPr>
          </w:p>
        </w:tc>
        <w:tc>
          <w:tcPr>
            <w:tcW w:w="5273" w:type="dxa"/>
          </w:tcPr>
          <w:p w14:paraId="5FA32866" w14:textId="7B63EC4A" w:rsidR="00A36E42" w:rsidRDefault="00A36E42" w:rsidP="006600A4">
            <w:pPr>
              <w:pStyle w:val="TableBlock"/>
            </w:pPr>
            <w:r w:rsidRPr="006C199C">
              <w:rPr>
                <w:rtl/>
              </w:rPr>
              <w:t>ב</w:t>
            </w:r>
            <w:r>
              <w:rPr>
                <w:rFonts w:hint="cs"/>
                <w:rtl/>
              </w:rPr>
              <w:t>חוק</w:t>
            </w:r>
            <w:r w:rsidRPr="006C199C">
              <w:rPr>
                <w:rtl/>
              </w:rPr>
              <w:t xml:space="preserve"> ז</w:t>
            </w:r>
            <w:r>
              <w:rPr>
                <w:rFonts w:hint="cs"/>
                <w:rtl/>
              </w:rPr>
              <w:t xml:space="preserve">ה, </w:t>
            </w:r>
            <w:r w:rsidRPr="006C199C">
              <w:rPr>
                <w:rtl/>
              </w:rPr>
              <w:t xml:space="preserve">"מפעלי תעשיה" </w:t>
            </w:r>
            <w:r>
              <w:rPr>
                <w:rFonts w:hint="cs"/>
                <w:rtl/>
              </w:rPr>
              <w:t>–</w:t>
            </w:r>
            <w:r w:rsidRPr="006C199C">
              <w:rPr>
                <w:rtl/>
              </w:rPr>
              <w:t xml:space="preserve"> מפעלי תעשיה או סוגים של מפעלים כאמור</w:t>
            </w:r>
            <w:r>
              <w:rPr>
                <w:rFonts w:hint="cs"/>
                <w:rtl/>
              </w:rPr>
              <w:t>,</w:t>
            </w:r>
            <w:r w:rsidRPr="006C199C">
              <w:rPr>
                <w:rtl/>
              </w:rPr>
              <w:t xml:space="preserve"> שיקבע שר </w:t>
            </w:r>
            <w:r w:rsidR="006600A4">
              <w:rPr>
                <w:rFonts w:hint="cs"/>
                <w:rtl/>
              </w:rPr>
              <w:t>הכלכלה והתעשייה</w:t>
            </w:r>
            <w:r w:rsidRPr="006C199C">
              <w:rPr>
                <w:rtl/>
              </w:rPr>
              <w:t>, לאחר התייעצות בארגוני המעבידים והעובדים.</w:t>
            </w:r>
            <w:r w:rsidRPr="006C199C">
              <w:t xml:space="preserve">  </w:t>
            </w:r>
          </w:p>
        </w:tc>
      </w:tr>
      <w:tr w:rsidR="00A36E42" w14:paraId="559855E4" w14:textId="77777777" w:rsidTr="0026112E">
        <w:trPr>
          <w:cantSplit/>
          <w:trHeight w:val="60"/>
        </w:trPr>
        <w:tc>
          <w:tcPr>
            <w:tcW w:w="1870" w:type="dxa"/>
          </w:tcPr>
          <w:p w14:paraId="060D19BF" w14:textId="77777777" w:rsidR="00A36E42" w:rsidRDefault="00A36E42" w:rsidP="0026112E">
            <w:pPr>
              <w:pStyle w:val="TableSideHeading"/>
              <w:ind w:right="0"/>
            </w:pPr>
          </w:p>
        </w:tc>
        <w:tc>
          <w:tcPr>
            <w:tcW w:w="624" w:type="dxa"/>
          </w:tcPr>
          <w:p w14:paraId="3FA15E46" w14:textId="77777777" w:rsidR="00A36E42" w:rsidRDefault="00A36E42" w:rsidP="0026112E">
            <w:pPr>
              <w:pStyle w:val="TableText"/>
              <w:ind w:right="0"/>
              <w:jc w:val="both"/>
            </w:pPr>
          </w:p>
        </w:tc>
        <w:tc>
          <w:tcPr>
            <w:tcW w:w="624" w:type="dxa"/>
          </w:tcPr>
          <w:p w14:paraId="2CAA6B83" w14:textId="77777777" w:rsidR="00A36E42" w:rsidRDefault="00A36E42" w:rsidP="0026112E">
            <w:pPr>
              <w:pStyle w:val="TableText"/>
              <w:ind w:right="0"/>
              <w:jc w:val="both"/>
            </w:pPr>
          </w:p>
        </w:tc>
        <w:tc>
          <w:tcPr>
            <w:tcW w:w="624" w:type="dxa"/>
          </w:tcPr>
          <w:p w14:paraId="20EB5064" w14:textId="77777777" w:rsidR="00A36E42" w:rsidRDefault="00A36E42" w:rsidP="0026112E">
            <w:pPr>
              <w:pStyle w:val="TableText"/>
              <w:ind w:right="0"/>
              <w:jc w:val="both"/>
            </w:pPr>
          </w:p>
        </w:tc>
        <w:tc>
          <w:tcPr>
            <w:tcW w:w="5897" w:type="dxa"/>
            <w:gridSpan w:val="2"/>
          </w:tcPr>
          <w:p w14:paraId="7E77D0F5" w14:textId="436CD3AF" w:rsidR="00A36E42" w:rsidRPr="00AE0A5F" w:rsidRDefault="00A36E42" w:rsidP="006600A4">
            <w:pPr>
              <w:pStyle w:val="TableBlock"/>
              <w:rPr>
                <w:rtl/>
              </w:rPr>
            </w:pPr>
            <w:r>
              <w:rPr>
                <w:rFonts w:hint="cs"/>
                <w:rtl/>
              </w:rPr>
              <w:t>(5)</w:t>
            </w:r>
            <w:r>
              <w:rPr>
                <w:rtl/>
              </w:rPr>
              <w:tab/>
            </w:r>
            <w:r w:rsidRPr="00E05D63">
              <w:rPr>
                <w:rtl/>
              </w:rPr>
              <w:t xml:space="preserve">פעילות בתחומים נוספים שיקבע שר </w:t>
            </w:r>
            <w:r w:rsidR="006600A4">
              <w:rPr>
                <w:rFonts w:hint="cs"/>
                <w:rtl/>
              </w:rPr>
              <w:t>הכלכלה והתעשייה</w:t>
            </w:r>
            <w:r w:rsidRPr="00E05D63">
              <w:rPr>
                <w:rtl/>
              </w:rPr>
              <w:t xml:space="preserve"> בצו.</w:t>
            </w:r>
          </w:p>
        </w:tc>
      </w:tr>
      <w:tr w:rsidR="00A36E42" w14:paraId="3F92DE1A" w14:textId="77777777" w:rsidTr="0026112E">
        <w:trPr>
          <w:cantSplit/>
          <w:trHeight w:val="60"/>
        </w:trPr>
        <w:tc>
          <w:tcPr>
            <w:tcW w:w="1870" w:type="dxa"/>
          </w:tcPr>
          <w:p w14:paraId="5023F4A7" w14:textId="77777777" w:rsidR="00A36E42" w:rsidRDefault="00A36E42" w:rsidP="0026112E">
            <w:pPr>
              <w:pStyle w:val="TableSideHeading"/>
              <w:ind w:right="0"/>
            </w:pPr>
          </w:p>
        </w:tc>
        <w:tc>
          <w:tcPr>
            <w:tcW w:w="624" w:type="dxa"/>
          </w:tcPr>
          <w:p w14:paraId="0E6D88EE" w14:textId="77777777" w:rsidR="00A36E42" w:rsidRDefault="00A36E42" w:rsidP="0026112E">
            <w:pPr>
              <w:pStyle w:val="TableText"/>
              <w:ind w:right="0"/>
              <w:jc w:val="both"/>
            </w:pPr>
          </w:p>
        </w:tc>
        <w:tc>
          <w:tcPr>
            <w:tcW w:w="624" w:type="dxa"/>
          </w:tcPr>
          <w:p w14:paraId="1B2AD945" w14:textId="77777777" w:rsidR="00A36E42" w:rsidRDefault="00A36E42" w:rsidP="0026112E">
            <w:pPr>
              <w:pStyle w:val="TableText"/>
              <w:ind w:right="0"/>
              <w:jc w:val="both"/>
            </w:pPr>
          </w:p>
        </w:tc>
        <w:tc>
          <w:tcPr>
            <w:tcW w:w="6521" w:type="dxa"/>
            <w:gridSpan w:val="3"/>
          </w:tcPr>
          <w:p w14:paraId="55DDF87E" w14:textId="4101C3B4" w:rsidR="00A36E42" w:rsidRDefault="00A36E42" w:rsidP="00F27FD9">
            <w:pPr>
              <w:pStyle w:val="TableBlock"/>
            </w:pPr>
            <w:r>
              <w:rPr>
                <w:rFonts w:hint="cs"/>
                <w:rtl/>
              </w:rPr>
              <w:t>(ג)</w:t>
            </w:r>
            <w:r>
              <w:rPr>
                <w:rtl/>
              </w:rPr>
              <w:tab/>
            </w:r>
            <w:r>
              <w:rPr>
                <w:rFonts w:hint="cs"/>
                <w:rtl/>
              </w:rPr>
              <w:t xml:space="preserve">על </w:t>
            </w:r>
            <w:r w:rsidR="00F27FD9">
              <w:rPr>
                <w:rFonts w:hint="cs"/>
                <w:rtl/>
              </w:rPr>
              <w:t xml:space="preserve">העסקת </w:t>
            </w:r>
            <w:r>
              <w:rPr>
                <w:rFonts w:hint="cs"/>
                <w:rtl/>
              </w:rPr>
              <w:t>עובד ביום שהוא לגביו יום מנוחה נוסף לא יחולו הוראות סעיף 26.".</w:t>
            </w:r>
          </w:p>
        </w:tc>
      </w:tr>
      <w:tr w:rsidR="00A36E42" w14:paraId="346D12EC" w14:textId="77777777" w:rsidTr="0026112E">
        <w:trPr>
          <w:cantSplit/>
        </w:trPr>
        <w:tc>
          <w:tcPr>
            <w:tcW w:w="1870" w:type="dxa"/>
          </w:tcPr>
          <w:p w14:paraId="005F6D9B" w14:textId="77777777" w:rsidR="00A36E42" w:rsidRDefault="00A36E42" w:rsidP="0026112E">
            <w:pPr>
              <w:pStyle w:val="TableSideHeading"/>
              <w:keepLines w:val="0"/>
              <w:rPr>
                <w:rtl/>
              </w:rPr>
            </w:pPr>
            <w:r w:rsidRPr="006C199C">
              <w:rPr>
                <w:rtl/>
              </w:rPr>
              <w:t>תיקון סעיף 9א</w:t>
            </w:r>
          </w:p>
        </w:tc>
        <w:tc>
          <w:tcPr>
            <w:tcW w:w="624" w:type="dxa"/>
          </w:tcPr>
          <w:p w14:paraId="67FC84D6" w14:textId="77777777" w:rsidR="00A36E42" w:rsidRDefault="00A36E42" w:rsidP="0026112E">
            <w:pPr>
              <w:pStyle w:val="TableText"/>
              <w:rPr>
                <w:rtl/>
              </w:rPr>
            </w:pPr>
            <w:r>
              <w:rPr>
                <w:rFonts w:hint="cs"/>
                <w:rtl/>
              </w:rPr>
              <w:t>8.</w:t>
            </w:r>
          </w:p>
        </w:tc>
        <w:tc>
          <w:tcPr>
            <w:tcW w:w="7145" w:type="dxa"/>
            <w:gridSpan w:val="4"/>
          </w:tcPr>
          <w:p w14:paraId="5D80E20E" w14:textId="77777777" w:rsidR="00A36E42" w:rsidRDefault="00A36E42" w:rsidP="0026112E">
            <w:pPr>
              <w:pStyle w:val="TableBlock"/>
              <w:rPr>
                <w:sz w:val="26"/>
                <w:rtl/>
              </w:rPr>
            </w:pPr>
            <w:r w:rsidRPr="006C199C">
              <w:rPr>
                <w:sz w:val="26"/>
                <w:rtl/>
              </w:rPr>
              <w:t xml:space="preserve">בסעיף 9א לחוק העיקרי </w:t>
            </w:r>
            <w:r>
              <w:rPr>
                <w:rFonts w:hint="cs"/>
                <w:sz w:val="26"/>
                <w:rtl/>
              </w:rPr>
              <w:t>–</w:t>
            </w:r>
          </w:p>
        </w:tc>
      </w:tr>
      <w:tr w:rsidR="00A36E42" w14:paraId="2BF284B5" w14:textId="77777777" w:rsidTr="0026112E">
        <w:trPr>
          <w:cantSplit/>
        </w:trPr>
        <w:tc>
          <w:tcPr>
            <w:tcW w:w="1870" w:type="dxa"/>
          </w:tcPr>
          <w:p w14:paraId="577BA76C" w14:textId="77777777" w:rsidR="00A36E42" w:rsidRPr="00000386" w:rsidRDefault="00A36E42" w:rsidP="0026112E">
            <w:pPr>
              <w:pStyle w:val="TableSideHeading"/>
              <w:ind w:right="0"/>
              <w:rPr>
                <w:highlight w:val="yellow"/>
              </w:rPr>
            </w:pPr>
          </w:p>
        </w:tc>
        <w:tc>
          <w:tcPr>
            <w:tcW w:w="624" w:type="dxa"/>
          </w:tcPr>
          <w:p w14:paraId="3DD2C336" w14:textId="77777777" w:rsidR="00A36E42" w:rsidRDefault="00A36E42" w:rsidP="0026112E">
            <w:pPr>
              <w:pStyle w:val="TableText"/>
              <w:ind w:right="0"/>
              <w:jc w:val="both"/>
            </w:pPr>
          </w:p>
        </w:tc>
        <w:tc>
          <w:tcPr>
            <w:tcW w:w="7145" w:type="dxa"/>
            <w:gridSpan w:val="4"/>
          </w:tcPr>
          <w:p w14:paraId="5997B473" w14:textId="77777777" w:rsidR="00A36E42" w:rsidRDefault="00A36E42" w:rsidP="0026112E">
            <w:pPr>
              <w:pStyle w:val="TableBlock"/>
            </w:pPr>
            <w:r>
              <w:rPr>
                <w:rFonts w:hint="cs"/>
                <w:rtl/>
              </w:rPr>
              <w:t>(1)</w:t>
            </w:r>
            <w:r>
              <w:rPr>
                <w:rtl/>
              </w:rPr>
              <w:tab/>
              <w:t xml:space="preserve">בסעיף קטן (א), אחרי "1948" </w:t>
            </w:r>
            <w:r>
              <w:rPr>
                <w:rFonts w:hint="cs"/>
                <w:rtl/>
              </w:rPr>
              <w:t>יבוא "וביום ראשון";</w:t>
            </w:r>
          </w:p>
        </w:tc>
      </w:tr>
      <w:tr w:rsidR="00A36E42" w14:paraId="37F4AD4D" w14:textId="77777777" w:rsidTr="0026112E">
        <w:trPr>
          <w:cantSplit/>
        </w:trPr>
        <w:tc>
          <w:tcPr>
            <w:tcW w:w="1870" w:type="dxa"/>
          </w:tcPr>
          <w:p w14:paraId="11D9E0EF" w14:textId="77777777" w:rsidR="00A36E42" w:rsidRPr="00000386" w:rsidRDefault="00A36E42" w:rsidP="0026112E">
            <w:pPr>
              <w:pStyle w:val="TableSideHeading"/>
              <w:ind w:right="0"/>
              <w:rPr>
                <w:highlight w:val="yellow"/>
              </w:rPr>
            </w:pPr>
          </w:p>
        </w:tc>
        <w:tc>
          <w:tcPr>
            <w:tcW w:w="624" w:type="dxa"/>
          </w:tcPr>
          <w:p w14:paraId="6E96E7BF" w14:textId="77777777" w:rsidR="00A36E42" w:rsidRDefault="00A36E42" w:rsidP="0026112E">
            <w:pPr>
              <w:pStyle w:val="TableText"/>
              <w:ind w:right="0"/>
              <w:jc w:val="both"/>
            </w:pPr>
          </w:p>
        </w:tc>
        <w:tc>
          <w:tcPr>
            <w:tcW w:w="7145" w:type="dxa"/>
            <w:gridSpan w:val="4"/>
          </w:tcPr>
          <w:p w14:paraId="2E4569B2" w14:textId="77777777" w:rsidR="00A36E42" w:rsidRPr="00E05D63" w:rsidRDefault="00A36E42" w:rsidP="0026112E">
            <w:pPr>
              <w:pStyle w:val="TableBlock"/>
              <w:rPr>
                <w:sz w:val="26"/>
                <w:rtl/>
              </w:rPr>
            </w:pPr>
            <w:r>
              <w:rPr>
                <w:rFonts w:hint="cs"/>
                <w:sz w:val="26"/>
                <w:rtl/>
              </w:rPr>
              <w:t>(2)</w:t>
            </w:r>
            <w:r>
              <w:rPr>
                <w:sz w:val="26"/>
                <w:rtl/>
              </w:rPr>
              <w:tab/>
              <w:t>בסעיף קטן (ב), אחרי "בימי מנוחה כאמור" יבוא "וביום ראשון";</w:t>
            </w:r>
          </w:p>
        </w:tc>
      </w:tr>
      <w:tr w:rsidR="00A36E42" w14:paraId="27C96ADF" w14:textId="77777777" w:rsidTr="0026112E">
        <w:trPr>
          <w:cantSplit/>
        </w:trPr>
        <w:tc>
          <w:tcPr>
            <w:tcW w:w="1870" w:type="dxa"/>
          </w:tcPr>
          <w:p w14:paraId="40A9426E" w14:textId="77777777" w:rsidR="00A36E42" w:rsidRDefault="00A36E42" w:rsidP="0026112E">
            <w:pPr>
              <w:pStyle w:val="TableSideHeading"/>
              <w:ind w:right="0"/>
            </w:pPr>
          </w:p>
        </w:tc>
        <w:tc>
          <w:tcPr>
            <w:tcW w:w="624" w:type="dxa"/>
          </w:tcPr>
          <w:p w14:paraId="38665F89" w14:textId="77777777" w:rsidR="00A36E42" w:rsidRDefault="00A36E42" w:rsidP="0026112E">
            <w:pPr>
              <w:pStyle w:val="TableText"/>
              <w:ind w:right="0"/>
              <w:jc w:val="both"/>
            </w:pPr>
          </w:p>
        </w:tc>
        <w:tc>
          <w:tcPr>
            <w:tcW w:w="7145" w:type="dxa"/>
            <w:gridSpan w:val="4"/>
          </w:tcPr>
          <w:p w14:paraId="4A6BE1FC" w14:textId="77777777" w:rsidR="00A36E42" w:rsidRPr="002D753D" w:rsidRDefault="00A36E42" w:rsidP="0026112E">
            <w:pPr>
              <w:pStyle w:val="TableBlock"/>
              <w:rPr>
                <w:sz w:val="26"/>
              </w:rPr>
            </w:pPr>
            <w:r>
              <w:rPr>
                <w:rFonts w:hint="cs"/>
                <w:sz w:val="26"/>
                <w:rtl/>
              </w:rPr>
              <w:t>(3)</w:t>
            </w:r>
            <w:r>
              <w:rPr>
                <w:sz w:val="26"/>
                <w:rtl/>
              </w:rPr>
              <w:tab/>
              <w:t>אחרי סעיף קטן (ב) יבוא:</w:t>
            </w:r>
            <w:r>
              <w:rPr>
                <w:sz w:val="26"/>
              </w:rPr>
              <w:t xml:space="preserve">  </w:t>
            </w:r>
          </w:p>
        </w:tc>
      </w:tr>
      <w:tr w:rsidR="00A36E42" w14:paraId="49973FF7" w14:textId="77777777" w:rsidTr="0026112E">
        <w:trPr>
          <w:cantSplit/>
        </w:trPr>
        <w:tc>
          <w:tcPr>
            <w:tcW w:w="1870" w:type="dxa"/>
          </w:tcPr>
          <w:p w14:paraId="7515BD2F" w14:textId="77777777" w:rsidR="00A36E42" w:rsidRDefault="00A36E42" w:rsidP="0026112E">
            <w:pPr>
              <w:pStyle w:val="TableSideHeading"/>
            </w:pPr>
          </w:p>
        </w:tc>
        <w:tc>
          <w:tcPr>
            <w:tcW w:w="624" w:type="dxa"/>
          </w:tcPr>
          <w:p w14:paraId="5E079B8C" w14:textId="77777777" w:rsidR="00A36E42" w:rsidRDefault="00A36E42" w:rsidP="0026112E">
            <w:pPr>
              <w:pStyle w:val="TableText"/>
            </w:pPr>
          </w:p>
        </w:tc>
        <w:tc>
          <w:tcPr>
            <w:tcW w:w="624" w:type="dxa"/>
          </w:tcPr>
          <w:p w14:paraId="64E74437" w14:textId="77777777" w:rsidR="00A36E42" w:rsidRDefault="00A36E42" w:rsidP="0026112E">
            <w:pPr>
              <w:pStyle w:val="TableText"/>
            </w:pPr>
          </w:p>
        </w:tc>
        <w:tc>
          <w:tcPr>
            <w:tcW w:w="6521" w:type="dxa"/>
            <w:gridSpan w:val="3"/>
          </w:tcPr>
          <w:p w14:paraId="1730E393" w14:textId="77777777" w:rsidR="00A36E42" w:rsidRDefault="00A36E42" w:rsidP="0026112E">
            <w:pPr>
              <w:pStyle w:val="TableBlock"/>
              <w:rPr>
                <w:sz w:val="26"/>
                <w:rtl/>
              </w:rPr>
            </w:pPr>
            <w:r>
              <w:rPr>
                <w:rFonts w:hint="cs"/>
                <w:sz w:val="26"/>
                <w:rtl/>
              </w:rPr>
              <w:t>"(ב1)</w:t>
            </w:r>
            <w:r>
              <w:rPr>
                <w:sz w:val="26"/>
                <w:rtl/>
              </w:rPr>
              <w:tab/>
              <w:t xml:space="preserve">על אף האמור בסעיפים קטנים (א) ו-(ב), בימי ראשון מותרת עבודה לצורך קיום </w:t>
            </w:r>
            <w:r>
              <w:rPr>
                <w:rFonts w:hint="cs"/>
                <w:sz w:val="26"/>
                <w:rtl/>
              </w:rPr>
              <w:t>–</w:t>
            </w:r>
          </w:p>
        </w:tc>
      </w:tr>
      <w:tr w:rsidR="00A36E42" w14:paraId="4D42B420" w14:textId="77777777" w:rsidTr="0026112E">
        <w:trPr>
          <w:cantSplit/>
        </w:trPr>
        <w:tc>
          <w:tcPr>
            <w:tcW w:w="1870" w:type="dxa"/>
          </w:tcPr>
          <w:p w14:paraId="4A7DBE19" w14:textId="77777777" w:rsidR="00A36E42" w:rsidRDefault="00A36E42" w:rsidP="0026112E">
            <w:pPr>
              <w:pStyle w:val="TableSideHeading"/>
            </w:pPr>
          </w:p>
        </w:tc>
        <w:tc>
          <w:tcPr>
            <w:tcW w:w="624" w:type="dxa"/>
          </w:tcPr>
          <w:p w14:paraId="54F296FA" w14:textId="77777777" w:rsidR="00A36E42" w:rsidRDefault="00A36E42" w:rsidP="0026112E">
            <w:pPr>
              <w:pStyle w:val="TableText"/>
            </w:pPr>
          </w:p>
        </w:tc>
        <w:tc>
          <w:tcPr>
            <w:tcW w:w="624" w:type="dxa"/>
          </w:tcPr>
          <w:p w14:paraId="7996E31D" w14:textId="77777777" w:rsidR="00A36E42" w:rsidRDefault="00A36E42" w:rsidP="0026112E">
            <w:pPr>
              <w:pStyle w:val="TableText"/>
            </w:pPr>
          </w:p>
        </w:tc>
        <w:tc>
          <w:tcPr>
            <w:tcW w:w="624" w:type="dxa"/>
          </w:tcPr>
          <w:p w14:paraId="2C93B7C3" w14:textId="77777777" w:rsidR="00A36E42" w:rsidRDefault="00A36E42" w:rsidP="0026112E">
            <w:pPr>
              <w:pStyle w:val="TableText"/>
            </w:pPr>
          </w:p>
        </w:tc>
        <w:tc>
          <w:tcPr>
            <w:tcW w:w="5897" w:type="dxa"/>
            <w:gridSpan w:val="2"/>
          </w:tcPr>
          <w:p w14:paraId="39FD80CB" w14:textId="77777777" w:rsidR="00A36E42" w:rsidRDefault="00A36E42" w:rsidP="0026112E">
            <w:pPr>
              <w:pStyle w:val="TableBlock"/>
            </w:pPr>
            <w:r>
              <w:rPr>
                <w:rFonts w:hint="cs"/>
                <w:rtl/>
              </w:rPr>
              <w:t>(1)</w:t>
            </w:r>
            <w:r>
              <w:rPr>
                <w:rtl/>
              </w:rPr>
              <w:tab/>
            </w:r>
            <w:r>
              <w:rPr>
                <w:sz w:val="26"/>
                <w:rtl/>
              </w:rPr>
              <w:t>פעולות תרבות ושירותים נלווים;</w:t>
            </w:r>
            <w:r>
              <w:rPr>
                <w:sz w:val="26"/>
              </w:rPr>
              <w:t xml:space="preserve">  </w:t>
            </w:r>
          </w:p>
        </w:tc>
      </w:tr>
      <w:tr w:rsidR="00A36E42" w14:paraId="20ED4FE8" w14:textId="77777777" w:rsidTr="0026112E">
        <w:trPr>
          <w:cantSplit/>
        </w:trPr>
        <w:tc>
          <w:tcPr>
            <w:tcW w:w="1870" w:type="dxa"/>
          </w:tcPr>
          <w:p w14:paraId="13051B4D" w14:textId="77777777" w:rsidR="00A36E42" w:rsidRDefault="00A36E42" w:rsidP="0026112E">
            <w:pPr>
              <w:pStyle w:val="TableSideHeading"/>
            </w:pPr>
          </w:p>
        </w:tc>
        <w:tc>
          <w:tcPr>
            <w:tcW w:w="624" w:type="dxa"/>
          </w:tcPr>
          <w:p w14:paraId="45F50D1F" w14:textId="77777777" w:rsidR="00A36E42" w:rsidRDefault="00A36E42" w:rsidP="0026112E">
            <w:pPr>
              <w:pStyle w:val="TableText"/>
            </w:pPr>
          </w:p>
        </w:tc>
        <w:tc>
          <w:tcPr>
            <w:tcW w:w="624" w:type="dxa"/>
          </w:tcPr>
          <w:p w14:paraId="65054849" w14:textId="77777777" w:rsidR="00A36E42" w:rsidRDefault="00A36E42" w:rsidP="0026112E">
            <w:pPr>
              <w:pStyle w:val="TableText"/>
            </w:pPr>
          </w:p>
        </w:tc>
        <w:tc>
          <w:tcPr>
            <w:tcW w:w="624" w:type="dxa"/>
          </w:tcPr>
          <w:p w14:paraId="16B2F330" w14:textId="77777777" w:rsidR="00A36E42" w:rsidRDefault="00A36E42" w:rsidP="0026112E">
            <w:pPr>
              <w:pStyle w:val="TableText"/>
            </w:pPr>
          </w:p>
        </w:tc>
        <w:tc>
          <w:tcPr>
            <w:tcW w:w="5897" w:type="dxa"/>
            <w:gridSpan w:val="2"/>
          </w:tcPr>
          <w:p w14:paraId="6A2823AB" w14:textId="77777777" w:rsidR="00A36E42" w:rsidRDefault="00A36E42" w:rsidP="0026112E">
            <w:pPr>
              <w:pStyle w:val="TableBlock"/>
              <w:rPr>
                <w:rtl/>
              </w:rPr>
            </w:pPr>
            <w:r>
              <w:rPr>
                <w:rFonts w:hint="cs"/>
                <w:rtl/>
              </w:rPr>
              <w:t>(2)</w:t>
            </w:r>
            <w:r>
              <w:rPr>
                <w:rtl/>
              </w:rPr>
              <w:tab/>
            </w:r>
            <w:r>
              <w:rPr>
                <w:sz w:val="26"/>
                <w:rtl/>
              </w:rPr>
              <w:t>שירותי תחבורה ושירותים נלווים;</w:t>
            </w:r>
            <w:r>
              <w:rPr>
                <w:sz w:val="26"/>
              </w:rPr>
              <w:t xml:space="preserve">  </w:t>
            </w:r>
          </w:p>
        </w:tc>
      </w:tr>
      <w:tr w:rsidR="00A36E42" w14:paraId="230CB010" w14:textId="77777777" w:rsidTr="0026112E">
        <w:trPr>
          <w:cantSplit/>
        </w:trPr>
        <w:tc>
          <w:tcPr>
            <w:tcW w:w="1870" w:type="dxa"/>
          </w:tcPr>
          <w:p w14:paraId="4B1F49A1" w14:textId="77777777" w:rsidR="00A36E42" w:rsidRDefault="00A36E42" w:rsidP="0026112E">
            <w:pPr>
              <w:pStyle w:val="TableSideHeading"/>
            </w:pPr>
          </w:p>
        </w:tc>
        <w:tc>
          <w:tcPr>
            <w:tcW w:w="624" w:type="dxa"/>
          </w:tcPr>
          <w:p w14:paraId="0A5870DF" w14:textId="77777777" w:rsidR="00A36E42" w:rsidRDefault="00A36E42" w:rsidP="0026112E">
            <w:pPr>
              <w:pStyle w:val="TableText"/>
            </w:pPr>
          </w:p>
        </w:tc>
        <w:tc>
          <w:tcPr>
            <w:tcW w:w="624" w:type="dxa"/>
          </w:tcPr>
          <w:p w14:paraId="7DEEC425" w14:textId="77777777" w:rsidR="00A36E42" w:rsidRDefault="00A36E42" w:rsidP="0026112E">
            <w:pPr>
              <w:pStyle w:val="TableText"/>
            </w:pPr>
          </w:p>
        </w:tc>
        <w:tc>
          <w:tcPr>
            <w:tcW w:w="624" w:type="dxa"/>
          </w:tcPr>
          <w:p w14:paraId="4BE7B4EE" w14:textId="77777777" w:rsidR="00A36E42" w:rsidRDefault="00A36E42" w:rsidP="0026112E">
            <w:pPr>
              <w:pStyle w:val="TableText"/>
            </w:pPr>
          </w:p>
        </w:tc>
        <w:tc>
          <w:tcPr>
            <w:tcW w:w="5897" w:type="dxa"/>
            <w:gridSpan w:val="2"/>
          </w:tcPr>
          <w:p w14:paraId="1314E11C" w14:textId="77777777" w:rsidR="00A36E42" w:rsidRDefault="00A36E42" w:rsidP="0026112E">
            <w:pPr>
              <w:pStyle w:val="TableBlock"/>
              <w:rPr>
                <w:rtl/>
              </w:rPr>
            </w:pPr>
            <w:r>
              <w:rPr>
                <w:rFonts w:hint="cs"/>
                <w:rtl/>
              </w:rPr>
              <w:t>(3)</w:t>
            </w:r>
            <w:r>
              <w:rPr>
                <w:rtl/>
              </w:rPr>
              <w:tab/>
            </w:r>
            <w:r>
              <w:rPr>
                <w:sz w:val="26"/>
                <w:rtl/>
              </w:rPr>
              <w:t>מסחר קמעונאי ושירותים נלווים;</w:t>
            </w:r>
            <w:r>
              <w:rPr>
                <w:sz w:val="26"/>
              </w:rPr>
              <w:t xml:space="preserve">  </w:t>
            </w:r>
          </w:p>
        </w:tc>
      </w:tr>
      <w:tr w:rsidR="00A36E42" w14:paraId="33F6261B" w14:textId="77777777" w:rsidTr="0026112E">
        <w:trPr>
          <w:cantSplit/>
        </w:trPr>
        <w:tc>
          <w:tcPr>
            <w:tcW w:w="1870" w:type="dxa"/>
          </w:tcPr>
          <w:p w14:paraId="38CB14D4" w14:textId="77777777" w:rsidR="00A36E42" w:rsidRDefault="00A36E42" w:rsidP="0026112E">
            <w:pPr>
              <w:pStyle w:val="TableSideHeading"/>
            </w:pPr>
          </w:p>
        </w:tc>
        <w:tc>
          <w:tcPr>
            <w:tcW w:w="624" w:type="dxa"/>
          </w:tcPr>
          <w:p w14:paraId="61EAD9A3" w14:textId="77777777" w:rsidR="00A36E42" w:rsidRDefault="00A36E42" w:rsidP="0026112E">
            <w:pPr>
              <w:pStyle w:val="TableText"/>
            </w:pPr>
          </w:p>
        </w:tc>
        <w:tc>
          <w:tcPr>
            <w:tcW w:w="624" w:type="dxa"/>
          </w:tcPr>
          <w:p w14:paraId="09AC2D24" w14:textId="77777777" w:rsidR="00A36E42" w:rsidRDefault="00A36E42" w:rsidP="0026112E">
            <w:pPr>
              <w:pStyle w:val="TableText"/>
            </w:pPr>
          </w:p>
        </w:tc>
        <w:tc>
          <w:tcPr>
            <w:tcW w:w="624" w:type="dxa"/>
          </w:tcPr>
          <w:p w14:paraId="2D4C7946" w14:textId="77777777" w:rsidR="00A36E42" w:rsidRDefault="00A36E42" w:rsidP="0026112E">
            <w:pPr>
              <w:pStyle w:val="TableText"/>
            </w:pPr>
          </w:p>
        </w:tc>
        <w:tc>
          <w:tcPr>
            <w:tcW w:w="5897" w:type="dxa"/>
            <w:gridSpan w:val="2"/>
          </w:tcPr>
          <w:p w14:paraId="69D538EF" w14:textId="77777777" w:rsidR="00A36E42" w:rsidRDefault="00A36E42" w:rsidP="0026112E">
            <w:pPr>
              <w:pStyle w:val="TableBlock"/>
              <w:rPr>
                <w:rtl/>
              </w:rPr>
            </w:pPr>
            <w:r>
              <w:rPr>
                <w:rFonts w:hint="cs"/>
                <w:rtl/>
              </w:rPr>
              <w:t>(4)</w:t>
            </w:r>
            <w:r>
              <w:rPr>
                <w:rtl/>
              </w:rPr>
              <w:tab/>
            </w:r>
            <w:r>
              <w:rPr>
                <w:sz w:val="26"/>
                <w:rtl/>
              </w:rPr>
              <w:t>פעילותם של מפעלי תעשייה."</w:t>
            </w:r>
            <w:r>
              <w:rPr>
                <w:sz w:val="26"/>
              </w:rPr>
              <w:t xml:space="preserve">  </w:t>
            </w:r>
          </w:p>
        </w:tc>
      </w:tr>
      <w:tr w:rsidR="00A36E42" w14:paraId="60ACCF05" w14:textId="77777777" w:rsidTr="0026112E">
        <w:trPr>
          <w:cantSplit/>
        </w:trPr>
        <w:tc>
          <w:tcPr>
            <w:tcW w:w="1870" w:type="dxa"/>
          </w:tcPr>
          <w:p w14:paraId="0520A843" w14:textId="77777777" w:rsidR="00A36E42" w:rsidRDefault="00A36E42" w:rsidP="0026112E">
            <w:pPr>
              <w:pStyle w:val="TableSideHeading"/>
              <w:ind w:right="0"/>
            </w:pPr>
          </w:p>
        </w:tc>
        <w:tc>
          <w:tcPr>
            <w:tcW w:w="624" w:type="dxa"/>
          </w:tcPr>
          <w:p w14:paraId="50E3CCA2" w14:textId="77777777" w:rsidR="00A36E42" w:rsidRDefault="00A36E42" w:rsidP="0026112E">
            <w:pPr>
              <w:pStyle w:val="TableText"/>
              <w:ind w:right="0"/>
              <w:jc w:val="both"/>
            </w:pPr>
          </w:p>
        </w:tc>
        <w:tc>
          <w:tcPr>
            <w:tcW w:w="7145" w:type="dxa"/>
            <w:gridSpan w:val="4"/>
          </w:tcPr>
          <w:p w14:paraId="4E2E48D4" w14:textId="77777777" w:rsidR="00A36E42" w:rsidRDefault="00A36E42" w:rsidP="0026112E">
            <w:pPr>
              <w:pStyle w:val="TableBlock"/>
              <w:rPr>
                <w:rtl/>
              </w:rPr>
            </w:pPr>
            <w:r>
              <w:rPr>
                <w:rFonts w:hint="cs"/>
                <w:rtl/>
              </w:rPr>
              <w:t>(4)</w:t>
            </w:r>
            <w:r>
              <w:rPr>
                <w:rtl/>
              </w:rPr>
              <w:tab/>
            </w:r>
            <w:r>
              <w:rPr>
                <w:rFonts w:hint="cs"/>
                <w:rtl/>
              </w:rPr>
              <w:t>בסעיף קטן (ג), אחרי "המנוחה כאמור" יבוא "וביום ראשון", אחרי "וחגיו" יבוא "וביום השבת", ואחרי "לפי בחירתו" יבוא "ואולם ביום ראשון שנוסף לימי המנוחה או ביום השבת שנוסף לימי שבתו וחגיו, לפי העניין, מותרת עבודה לצורך קיום האמור בפסקאות (1) עד (4) לסעיף קטן (ב1)".</w:t>
            </w:r>
          </w:p>
        </w:tc>
      </w:tr>
      <w:tr w:rsidR="00A36E42" w14:paraId="34C077B6" w14:textId="77777777" w:rsidTr="0026112E">
        <w:trPr>
          <w:cantSplit/>
        </w:trPr>
        <w:tc>
          <w:tcPr>
            <w:tcW w:w="1870" w:type="dxa"/>
          </w:tcPr>
          <w:p w14:paraId="608EE322" w14:textId="77777777" w:rsidR="00A36E42" w:rsidRDefault="00A36E42" w:rsidP="0026112E">
            <w:pPr>
              <w:pStyle w:val="TableSideHeading"/>
            </w:pPr>
            <w:r w:rsidRPr="006C199C">
              <w:rPr>
                <w:rtl/>
              </w:rPr>
              <w:t>תיקון סעיף 10</w:t>
            </w:r>
          </w:p>
        </w:tc>
        <w:tc>
          <w:tcPr>
            <w:tcW w:w="624" w:type="dxa"/>
          </w:tcPr>
          <w:p w14:paraId="64AC73E7" w14:textId="77777777" w:rsidR="00A36E42" w:rsidRDefault="00A36E42" w:rsidP="0026112E">
            <w:pPr>
              <w:pStyle w:val="TableText"/>
            </w:pPr>
            <w:r>
              <w:rPr>
                <w:rFonts w:hint="cs"/>
                <w:rtl/>
              </w:rPr>
              <w:t>9.</w:t>
            </w:r>
          </w:p>
        </w:tc>
        <w:tc>
          <w:tcPr>
            <w:tcW w:w="7145" w:type="dxa"/>
            <w:gridSpan w:val="4"/>
          </w:tcPr>
          <w:p w14:paraId="46E75BFB" w14:textId="77777777" w:rsidR="00A36E42" w:rsidRPr="00C34DE2" w:rsidRDefault="00A36E42" w:rsidP="0026112E">
            <w:pPr>
              <w:pStyle w:val="TableBlock"/>
            </w:pPr>
            <w:r w:rsidRPr="006C199C">
              <w:rPr>
                <w:rtl/>
              </w:rPr>
              <w:t>בסעיף 10(א), בפסקה (2), במקום "ארבעים וחמש" יבוא "ארבעים ושלוש".</w:t>
            </w:r>
          </w:p>
        </w:tc>
      </w:tr>
      <w:tr w:rsidR="00A36E42" w14:paraId="092D741F" w14:textId="77777777" w:rsidTr="0026112E">
        <w:trPr>
          <w:cantSplit/>
        </w:trPr>
        <w:tc>
          <w:tcPr>
            <w:tcW w:w="1870" w:type="dxa"/>
          </w:tcPr>
          <w:p w14:paraId="56BD5E8D" w14:textId="77777777" w:rsidR="00A36E42" w:rsidRPr="006C199C" w:rsidRDefault="00A36E42" w:rsidP="0026112E">
            <w:pPr>
              <w:pStyle w:val="TableSideHeading"/>
              <w:rPr>
                <w:rtl/>
              </w:rPr>
            </w:pPr>
            <w:r>
              <w:rPr>
                <w:rFonts w:hint="cs"/>
                <w:rtl/>
              </w:rPr>
              <w:lastRenderedPageBreak/>
              <w:t>תיקון סעיף 17</w:t>
            </w:r>
          </w:p>
        </w:tc>
        <w:tc>
          <w:tcPr>
            <w:tcW w:w="624" w:type="dxa"/>
          </w:tcPr>
          <w:p w14:paraId="39E13478" w14:textId="77777777" w:rsidR="00A36E42" w:rsidRDefault="00A36E42" w:rsidP="0026112E">
            <w:pPr>
              <w:pStyle w:val="TableText"/>
              <w:rPr>
                <w:rtl/>
              </w:rPr>
            </w:pPr>
            <w:r>
              <w:rPr>
                <w:rFonts w:hint="cs"/>
                <w:rtl/>
              </w:rPr>
              <w:t>10.</w:t>
            </w:r>
          </w:p>
        </w:tc>
        <w:tc>
          <w:tcPr>
            <w:tcW w:w="7145" w:type="dxa"/>
            <w:gridSpan w:val="4"/>
          </w:tcPr>
          <w:p w14:paraId="0FA6B2FE" w14:textId="77777777" w:rsidR="00A36E42" w:rsidRPr="005323EE" w:rsidRDefault="00A36E42" w:rsidP="0026112E">
            <w:pPr>
              <w:pStyle w:val="TableBlock"/>
            </w:pPr>
            <w:r>
              <w:rPr>
                <w:rFonts w:hint="cs"/>
                <w:rtl/>
              </w:rPr>
              <w:t>ב</w:t>
            </w:r>
            <w:r w:rsidRPr="006C199C">
              <w:rPr>
                <w:rtl/>
              </w:rPr>
              <w:t>סעיף 17 לחוק העיקרי</w:t>
            </w:r>
            <w:r>
              <w:rPr>
                <w:rFonts w:hint="cs"/>
                <w:rtl/>
              </w:rPr>
              <w:t>, אחרי סעיף קטן (ב)</w:t>
            </w:r>
            <w:r w:rsidRPr="006C199C">
              <w:rPr>
                <w:rtl/>
              </w:rPr>
              <w:t xml:space="preserve"> יבוא:</w:t>
            </w:r>
            <w:r w:rsidRPr="006C199C">
              <w:t xml:space="preserve">  </w:t>
            </w:r>
          </w:p>
        </w:tc>
      </w:tr>
      <w:tr w:rsidR="00AE17D2" w14:paraId="1B77C6CE" w14:textId="77777777" w:rsidTr="00444E35">
        <w:trPr>
          <w:cantSplit/>
          <w:trHeight w:val="60"/>
        </w:trPr>
        <w:tc>
          <w:tcPr>
            <w:tcW w:w="1870" w:type="dxa"/>
          </w:tcPr>
          <w:p w14:paraId="2FCC856E" w14:textId="77777777" w:rsidR="00AE17D2" w:rsidRDefault="00AE17D2" w:rsidP="0026112E">
            <w:pPr>
              <w:pStyle w:val="TableSideHeading"/>
            </w:pPr>
          </w:p>
        </w:tc>
        <w:tc>
          <w:tcPr>
            <w:tcW w:w="624" w:type="dxa"/>
          </w:tcPr>
          <w:p w14:paraId="5427A154" w14:textId="77777777" w:rsidR="00AE17D2" w:rsidRDefault="00AE17D2" w:rsidP="0026112E">
            <w:pPr>
              <w:pStyle w:val="TableText"/>
            </w:pPr>
          </w:p>
        </w:tc>
        <w:tc>
          <w:tcPr>
            <w:tcW w:w="7145" w:type="dxa"/>
            <w:gridSpan w:val="4"/>
          </w:tcPr>
          <w:p w14:paraId="30FAAAD0" w14:textId="0CE956DE" w:rsidR="00AE17D2" w:rsidRDefault="00AE17D2" w:rsidP="006600A4">
            <w:pPr>
              <w:pStyle w:val="TableBlock"/>
            </w:pPr>
            <w:r>
              <w:rPr>
                <w:rFonts w:hint="cs"/>
                <w:sz w:val="26"/>
                <w:rtl/>
              </w:rPr>
              <w:t>"(ג)</w:t>
            </w:r>
            <w:r>
              <w:rPr>
                <w:sz w:val="26"/>
                <w:rtl/>
              </w:rPr>
              <w:tab/>
            </w:r>
            <w:r>
              <w:rPr>
                <w:rFonts w:hint="cs"/>
                <w:sz w:val="26"/>
                <w:rtl/>
              </w:rPr>
              <w:t>הועסק עובד ביום שהוא לגביו יום מנוחה נוסף, לא יחולו לגבי העסקתו ביום המנוחה הנוסף הוראות סעיפים קטנים (א) ו-(ב) ואולם אם הועסק כאמור בהתאם להוראות סעיף 9(ב), הוא יהיה זכאי ליום מנוחה נוסף חלופי, במקומו."</w:t>
            </w:r>
          </w:p>
        </w:tc>
      </w:tr>
      <w:tr w:rsidR="00A36E42" w14:paraId="51B1CFD6" w14:textId="77777777" w:rsidTr="0026112E">
        <w:trPr>
          <w:cantSplit/>
        </w:trPr>
        <w:tc>
          <w:tcPr>
            <w:tcW w:w="1870" w:type="dxa"/>
          </w:tcPr>
          <w:p w14:paraId="5D128D1F" w14:textId="77777777" w:rsidR="00A36E42" w:rsidRDefault="00A36E42" w:rsidP="0026112E">
            <w:pPr>
              <w:pStyle w:val="TableSideHeading"/>
            </w:pPr>
            <w:r>
              <w:rPr>
                <w:rFonts w:hint="cs"/>
                <w:rtl/>
              </w:rPr>
              <w:t>תיקון חוק עבודת הנוער</w:t>
            </w:r>
          </w:p>
        </w:tc>
        <w:tc>
          <w:tcPr>
            <w:tcW w:w="624" w:type="dxa"/>
          </w:tcPr>
          <w:p w14:paraId="2BBCD89F" w14:textId="77777777" w:rsidR="00A36E42" w:rsidRDefault="00A36E42" w:rsidP="0026112E">
            <w:pPr>
              <w:pStyle w:val="TableText"/>
            </w:pPr>
            <w:r>
              <w:rPr>
                <w:rFonts w:hint="cs"/>
                <w:rtl/>
              </w:rPr>
              <w:t>11.</w:t>
            </w:r>
          </w:p>
        </w:tc>
        <w:tc>
          <w:tcPr>
            <w:tcW w:w="7145" w:type="dxa"/>
            <w:gridSpan w:val="4"/>
          </w:tcPr>
          <w:p w14:paraId="06CF16FE" w14:textId="77777777" w:rsidR="00A36E42" w:rsidRPr="00C34DE2" w:rsidRDefault="00A36E42" w:rsidP="0026112E">
            <w:pPr>
              <w:pStyle w:val="TableBlock"/>
            </w:pPr>
            <w:r w:rsidRPr="006C199C">
              <w:rPr>
                <w:rtl/>
              </w:rPr>
              <w:t>בחוק עבודת הנוער, התשי"ג</w:t>
            </w:r>
            <w:r>
              <w:rPr>
                <w:rFonts w:hint="cs"/>
                <w:rtl/>
              </w:rPr>
              <w:t>–</w:t>
            </w:r>
            <w:r w:rsidRPr="006C199C">
              <w:rPr>
                <w:rtl/>
              </w:rPr>
              <w:t>1953</w:t>
            </w:r>
            <w:r w:rsidRPr="00AA5462">
              <w:rPr>
                <w:szCs w:val="20"/>
                <w:rtl/>
              </w:rPr>
              <w:footnoteReference w:id="3"/>
            </w:r>
            <w:r>
              <w:rPr>
                <w:rFonts w:hint="cs"/>
                <w:rtl/>
              </w:rPr>
              <w:t xml:space="preserve"> </w:t>
            </w:r>
            <w:r>
              <w:rPr>
                <w:rFonts w:hint="eastAsia"/>
                <w:rtl/>
              </w:rPr>
              <w:t>–</w:t>
            </w:r>
            <w:r>
              <w:rPr>
                <w:rFonts w:hint="cs"/>
                <w:rtl/>
              </w:rPr>
              <w:t xml:space="preserve"> </w:t>
            </w:r>
          </w:p>
        </w:tc>
      </w:tr>
      <w:tr w:rsidR="00A36E42" w14:paraId="4D85E5D2" w14:textId="77777777" w:rsidTr="0026112E">
        <w:trPr>
          <w:cantSplit/>
        </w:trPr>
        <w:tc>
          <w:tcPr>
            <w:tcW w:w="1870" w:type="dxa"/>
          </w:tcPr>
          <w:p w14:paraId="2D7F1C1C" w14:textId="77777777" w:rsidR="00A36E42" w:rsidRDefault="00A36E42" w:rsidP="0026112E">
            <w:pPr>
              <w:pStyle w:val="TableSideHeading"/>
              <w:rPr>
                <w:rtl/>
              </w:rPr>
            </w:pPr>
          </w:p>
        </w:tc>
        <w:tc>
          <w:tcPr>
            <w:tcW w:w="624" w:type="dxa"/>
          </w:tcPr>
          <w:p w14:paraId="00663013" w14:textId="77777777" w:rsidR="00A36E42" w:rsidRDefault="00A36E42" w:rsidP="0026112E">
            <w:pPr>
              <w:pStyle w:val="TableText"/>
              <w:rPr>
                <w:rtl/>
              </w:rPr>
            </w:pPr>
          </w:p>
        </w:tc>
        <w:tc>
          <w:tcPr>
            <w:tcW w:w="7145" w:type="dxa"/>
            <w:gridSpan w:val="4"/>
          </w:tcPr>
          <w:p w14:paraId="6B4EEA78" w14:textId="77777777" w:rsidR="00A36E42" w:rsidRPr="006C199C" w:rsidRDefault="00A36E42" w:rsidP="0026112E">
            <w:pPr>
              <w:pStyle w:val="TableBlock"/>
              <w:rPr>
                <w:rtl/>
              </w:rPr>
            </w:pPr>
            <w:r>
              <w:rPr>
                <w:rFonts w:hint="cs"/>
                <w:rtl/>
              </w:rPr>
              <w:t>(1)</w:t>
            </w:r>
            <w:r>
              <w:rPr>
                <w:rtl/>
              </w:rPr>
              <w:tab/>
            </w:r>
            <w:r w:rsidRPr="006C199C">
              <w:rPr>
                <w:rtl/>
              </w:rPr>
              <w:t xml:space="preserve">בסעיף 20 </w:t>
            </w:r>
            <w:r>
              <w:rPr>
                <w:rFonts w:hint="eastAsia"/>
                <w:rtl/>
              </w:rPr>
              <w:t>–</w:t>
            </w:r>
          </w:p>
        </w:tc>
      </w:tr>
      <w:tr w:rsidR="00A36E42" w14:paraId="479EC848" w14:textId="77777777" w:rsidTr="0026112E">
        <w:trPr>
          <w:cantSplit/>
        </w:trPr>
        <w:tc>
          <w:tcPr>
            <w:tcW w:w="1870" w:type="dxa"/>
          </w:tcPr>
          <w:p w14:paraId="24CE847B" w14:textId="77777777" w:rsidR="00A36E42" w:rsidRDefault="00A36E42" w:rsidP="0026112E">
            <w:pPr>
              <w:pStyle w:val="TableSideHeading"/>
            </w:pPr>
          </w:p>
        </w:tc>
        <w:tc>
          <w:tcPr>
            <w:tcW w:w="624" w:type="dxa"/>
          </w:tcPr>
          <w:p w14:paraId="21BD1856" w14:textId="77777777" w:rsidR="00A36E42" w:rsidRDefault="00A36E42" w:rsidP="0026112E">
            <w:pPr>
              <w:pStyle w:val="TableText"/>
            </w:pPr>
          </w:p>
        </w:tc>
        <w:tc>
          <w:tcPr>
            <w:tcW w:w="624" w:type="dxa"/>
          </w:tcPr>
          <w:p w14:paraId="6E5B50D0" w14:textId="77777777" w:rsidR="00A36E42" w:rsidRDefault="00A36E42" w:rsidP="0026112E">
            <w:pPr>
              <w:pStyle w:val="TableText"/>
            </w:pPr>
          </w:p>
        </w:tc>
        <w:tc>
          <w:tcPr>
            <w:tcW w:w="6521" w:type="dxa"/>
            <w:gridSpan w:val="3"/>
          </w:tcPr>
          <w:p w14:paraId="403836E5" w14:textId="77777777" w:rsidR="00A36E42" w:rsidRDefault="00A36E42" w:rsidP="0026112E">
            <w:pPr>
              <w:pStyle w:val="TableBlock"/>
            </w:pPr>
            <w:r>
              <w:rPr>
                <w:rFonts w:hint="cs"/>
                <w:rtl/>
              </w:rPr>
              <w:t>(א)</w:t>
            </w:r>
            <w:r>
              <w:rPr>
                <w:sz w:val="26"/>
                <w:rtl/>
              </w:rPr>
              <w:t xml:space="preserve"> </w:t>
            </w:r>
            <w:r>
              <w:rPr>
                <w:rFonts w:hint="cs"/>
                <w:sz w:val="26"/>
                <w:rtl/>
              </w:rPr>
              <w:tab/>
            </w:r>
            <w:r>
              <w:rPr>
                <w:sz w:val="26"/>
                <w:rtl/>
              </w:rPr>
              <w:t>בסעיף קטן (א), במקום "משמונה שעות" יבוא "מתשע שעות";</w:t>
            </w:r>
          </w:p>
        </w:tc>
      </w:tr>
      <w:tr w:rsidR="00A36E42" w14:paraId="1E6F5459" w14:textId="77777777" w:rsidTr="0026112E">
        <w:trPr>
          <w:cantSplit/>
        </w:trPr>
        <w:tc>
          <w:tcPr>
            <w:tcW w:w="1870" w:type="dxa"/>
          </w:tcPr>
          <w:p w14:paraId="31764ADF" w14:textId="77777777" w:rsidR="00A36E42" w:rsidRDefault="00A36E42" w:rsidP="0026112E">
            <w:pPr>
              <w:pStyle w:val="TableSideHeading"/>
            </w:pPr>
          </w:p>
        </w:tc>
        <w:tc>
          <w:tcPr>
            <w:tcW w:w="624" w:type="dxa"/>
          </w:tcPr>
          <w:p w14:paraId="22232940" w14:textId="77777777" w:rsidR="00A36E42" w:rsidRDefault="00A36E42" w:rsidP="0026112E">
            <w:pPr>
              <w:pStyle w:val="TableText"/>
            </w:pPr>
          </w:p>
        </w:tc>
        <w:tc>
          <w:tcPr>
            <w:tcW w:w="624" w:type="dxa"/>
          </w:tcPr>
          <w:p w14:paraId="39F246BB" w14:textId="77777777" w:rsidR="00A36E42" w:rsidRDefault="00A36E42" w:rsidP="0026112E">
            <w:pPr>
              <w:pStyle w:val="TableText"/>
            </w:pPr>
          </w:p>
        </w:tc>
        <w:tc>
          <w:tcPr>
            <w:tcW w:w="6521" w:type="dxa"/>
            <w:gridSpan w:val="3"/>
          </w:tcPr>
          <w:p w14:paraId="1E903C8B" w14:textId="15494233" w:rsidR="00A36E42" w:rsidRDefault="00A36E42" w:rsidP="0026112E">
            <w:pPr>
              <w:pStyle w:val="TableBlock"/>
              <w:rPr>
                <w:rtl/>
              </w:rPr>
            </w:pPr>
            <w:r>
              <w:rPr>
                <w:rFonts w:hint="cs"/>
                <w:rtl/>
              </w:rPr>
              <w:t>(ב)</w:t>
            </w:r>
            <w:r>
              <w:rPr>
                <w:rtl/>
              </w:rPr>
              <w:tab/>
            </w:r>
            <w:r>
              <w:rPr>
                <w:sz w:val="26"/>
                <w:rtl/>
              </w:rPr>
              <w:t>סעיף קטן (א1)</w:t>
            </w:r>
            <w:r>
              <w:rPr>
                <w:rFonts w:hint="cs"/>
                <w:sz w:val="26"/>
                <w:rtl/>
              </w:rPr>
              <w:t xml:space="preserve"> </w:t>
            </w:r>
            <w:r>
              <w:rPr>
                <w:sz w:val="26"/>
                <w:rtl/>
              </w:rPr>
              <w:t>–</w:t>
            </w:r>
            <w:r w:rsidR="00AE17D2">
              <w:rPr>
                <w:rFonts w:hint="cs"/>
                <w:sz w:val="26"/>
                <w:rtl/>
              </w:rPr>
              <w:t xml:space="preserve"> בטל;</w:t>
            </w:r>
          </w:p>
        </w:tc>
      </w:tr>
      <w:tr w:rsidR="00A36E42" w14:paraId="38C540D4" w14:textId="77777777" w:rsidTr="0026112E">
        <w:trPr>
          <w:cantSplit/>
        </w:trPr>
        <w:tc>
          <w:tcPr>
            <w:tcW w:w="1870" w:type="dxa"/>
          </w:tcPr>
          <w:p w14:paraId="3003A87C" w14:textId="77777777" w:rsidR="00A36E42" w:rsidRDefault="00A36E42" w:rsidP="0026112E">
            <w:pPr>
              <w:pStyle w:val="TableSideHeading"/>
            </w:pPr>
          </w:p>
        </w:tc>
        <w:tc>
          <w:tcPr>
            <w:tcW w:w="624" w:type="dxa"/>
          </w:tcPr>
          <w:p w14:paraId="176361D5" w14:textId="77777777" w:rsidR="00A36E42" w:rsidRDefault="00A36E42" w:rsidP="0026112E">
            <w:pPr>
              <w:pStyle w:val="TableText"/>
            </w:pPr>
          </w:p>
        </w:tc>
        <w:tc>
          <w:tcPr>
            <w:tcW w:w="7145" w:type="dxa"/>
            <w:gridSpan w:val="4"/>
          </w:tcPr>
          <w:p w14:paraId="5AACF87A" w14:textId="77777777" w:rsidR="00A36E42" w:rsidRDefault="00A36E42" w:rsidP="0026112E">
            <w:pPr>
              <w:pStyle w:val="TableBlock"/>
              <w:rPr>
                <w:rtl/>
              </w:rPr>
            </w:pPr>
            <w:r>
              <w:rPr>
                <w:rFonts w:hint="cs"/>
                <w:rtl/>
              </w:rPr>
              <w:t>(2)</w:t>
            </w:r>
            <w:r>
              <w:rPr>
                <w:rtl/>
              </w:rPr>
              <w:tab/>
            </w:r>
            <w:r>
              <w:rPr>
                <w:rFonts w:hint="cs"/>
                <w:rtl/>
              </w:rPr>
              <w:t>בסעיף 21 –</w:t>
            </w:r>
          </w:p>
        </w:tc>
      </w:tr>
      <w:tr w:rsidR="00A36E42" w14:paraId="628647F2" w14:textId="77777777" w:rsidTr="0026112E">
        <w:trPr>
          <w:cantSplit/>
          <w:trHeight w:val="60"/>
        </w:trPr>
        <w:tc>
          <w:tcPr>
            <w:tcW w:w="1870" w:type="dxa"/>
          </w:tcPr>
          <w:p w14:paraId="0254DD0F" w14:textId="77777777" w:rsidR="00A36E42" w:rsidRDefault="00A36E42" w:rsidP="0026112E">
            <w:pPr>
              <w:pStyle w:val="TableSideHeading"/>
            </w:pPr>
          </w:p>
        </w:tc>
        <w:tc>
          <w:tcPr>
            <w:tcW w:w="624" w:type="dxa"/>
          </w:tcPr>
          <w:p w14:paraId="0CB14C56" w14:textId="77777777" w:rsidR="00A36E42" w:rsidRDefault="00A36E42" w:rsidP="0026112E">
            <w:pPr>
              <w:pStyle w:val="TableText"/>
            </w:pPr>
          </w:p>
        </w:tc>
        <w:tc>
          <w:tcPr>
            <w:tcW w:w="624" w:type="dxa"/>
          </w:tcPr>
          <w:p w14:paraId="08CA4874" w14:textId="77777777" w:rsidR="00A36E42" w:rsidRDefault="00A36E42" w:rsidP="0026112E">
            <w:pPr>
              <w:pStyle w:val="TableText"/>
            </w:pPr>
          </w:p>
        </w:tc>
        <w:tc>
          <w:tcPr>
            <w:tcW w:w="6521" w:type="dxa"/>
            <w:gridSpan w:val="3"/>
          </w:tcPr>
          <w:p w14:paraId="534A4001" w14:textId="77777777" w:rsidR="00A36E42" w:rsidRDefault="00A36E42" w:rsidP="0026112E">
            <w:pPr>
              <w:pStyle w:val="TableBlock"/>
            </w:pPr>
            <w:r>
              <w:rPr>
                <w:rFonts w:hint="cs"/>
                <w:rtl/>
              </w:rPr>
              <w:t>(א)</w:t>
            </w:r>
            <w:r>
              <w:rPr>
                <w:rtl/>
              </w:rPr>
              <w:tab/>
            </w:r>
            <w:r>
              <w:rPr>
                <w:sz w:val="26"/>
                <w:rtl/>
              </w:rPr>
              <w:t>בסעיף קטן (א), במקום "שלושים ושש" יבוא "חמישים ושבע"</w:t>
            </w:r>
            <w:r>
              <w:rPr>
                <w:rFonts w:hint="cs"/>
                <w:sz w:val="26"/>
                <w:rtl/>
              </w:rPr>
              <w:t xml:space="preserve">, ואחרי "את יום השבת" יבוא </w:t>
            </w:r>
            <w:r>
              <w:rPr>
                <w:sz w:val="26"/>
                <w:rtl/>
              </w:rPr>
              <w:t>"ואת יום ראשון</w:t>
            </w:r>
            <w:r>
              <w:rPr>
                <w:rFonts w:hint="cs"/>
                <w:sz w:val="26"/>
                <w:rtl/>
              </w:rPr>
              <w:t xml:space="preserve"> כיום מנוחה נוסף</w:t>
            </w:r>
            <w:r>
              <w:rPr>
                <w:sz w:val="26"/>
                <w:rtl/>
              </w:rPr>
              <w:t>";</w:t>
            </w:r>
          </w:p>
        </w:tc>
      </w:tr>
      <w:tr w:rsidR="00A36E42" w14:paraId="7F42F484" w14:textId="77777777" w:rsidTr="0026112E">
        <w:trPr>
          <w:cantSplit/>
          <w:trHeight w:val="60"/>
        </w:trPr>
        <w:tc>
          <w:tcPr>
            <w:tcW w:w="1870" w:type="dxa"/>
          </w:tcPr>
          <w:p w14:paraId="54830334" w14:textId="77777777" w:rsidR="00A36E42" w:rsidRDefault="00A36E42" w:rsidP="0026112E">
            <w:pPr>
              <w:pStyle w:val="TableSideHeading"/>
            </w:pPr>
          </w:p>
        </w:tc>
        <w:tc>
          <w:tcPr>
            <w:tcW w:w="624" w:type="dxa"/>
          </w:tcPr>
          <w:p w14:paraId="411EB822" w14:textId="77777777" w:rsidR="00A36E42" w:rsidRDefault="00A36E42" w:rsidP="0026112E">
            <w:pPr>
              <w:pStyle w:val="TableText"/>
            </w:pPr>
          </w:p>
        </w:tc>
        <w:tc>
          <w:tcPr>
            <w:tcW w:w="624" w:type="dxa"/>
          </w:tcPr>
          <w:p w14:paraId="528ACCD0" w14:textId="77777777" w:rsidR="00A36E42" w:rsidRDefault="00A36E42" w:rsidP="0026112E">
            <w:pPr>
              <w:pStyle w:val="TableText"/>
            </w:pPr>
          </w:p>
        </w:tc>
        <w:tc>
          <w:tcPr>
            <w:tcW w:w="6521" w:type="dxa"/>
            <w:gridSpan w:val="3"/>
          </w:tcPr>
          <w:p w14:paraId="31E026F3" w14:textId="77777777" w:rsidR="00A36E42" w:rsidRDefault="00A36E42" w:rsidP="0026112E">
            <w:pPr>
              <w:pStyle w:val="TableBlock"/>
              <w:rPr>
                <w:rtl/>
              </w:rPr>
            </w:pPr>
            <w:r>
              <w:rPr>
                <w:rFonts w:hint="cs"/>
                <w:rtl/>
              </w:rPr>
              <w:t>(ב)</w:t>
            </w:r>
            <w:r>
              <w:rPr>
                <w:rtl/>
              </w:rPr>
              <w:tab/>
            </w:r>
            <w:r>
              <w:rPr>
                <w:rFonts w:hint="cs"/>
                <w:rtl/>
              </w:rPr>
              <w:t>בסעיף קטן (ב), במקום "</w:t>
            </w:r>
            <w:r w:rsidRPr="00932A21">
              <w:rPr>
                <w:rFonts w:hint="cs"/>
                <w:rtl/>
              </w:rPr>
              <w:t>או את היום הראשון" יבוא "וכן את  היום הראשון", ובמקום "המנוחה השבועית שלו" יבוא "מנוחה נוסף".</w:t>
            </w:r>
          </w:p>
        </w:tc>
      </w:tr>
      <w:tr w:rsidR="00A36E42" w14:paraId="593A4654" w14:textId="77777777" w:rsidTr="0026112E">
        <w:trPr>
          <w:cantSplit/>
        </w:trPr>
        <w:tc>
          <w:tcPr>
            <w:tcW w:w="1870" w:type="dxa"/>
          </w:tcPr>
          <w:p w14:paraId="46AB6DA7" w14:textId="77777777" w:rsidR="00A36E42" w:rsidRDefault="00A36E42" w:rsidP="0026112E">
            <w:pPr>
              <w:pStyle w:val="TableSideHeading"/>
            </w:pPr>
            <w:r>
              <w:rPr>
                <w:rFonts w:hint="cs"/>
                <w:rtl/>
              </w:rPr>
              <w:t>תחילה</w:t>
            </w:r>
          </w:p>
        </w:tc>
        <w:tc>
          <w:tcPr>
            <w:tcW w:w="624" w:type="dxa"/>
          </w:tcPr>
          <w:p w14:paraId="399A89B1" w14:textId="77777777" w:rsidR="00A36E42" w:rsidRDefault="00A36E42" w:rsidP="0026112E">
            <w:pPr>
              <w:pStyle w:val="TableText"/>
            </w:pPr>
            <w:r>
              <w:rPr>
                <w:rFonts w:hint="cs"/>
                <w:rtl/>
              </w:rPr>
              <w:t>12.</w:t>
            </w:r>
          </w:p>
        </w:tc>
        <w:tc>
          <w:tcPr>
            <w:tcW w:w="7145" w:type="dxa"/>
            <w:gridSpan w:val="4"/>
          </w:tcPr>
          <w:p w14:paraId="78A125F6" w14:textId="77777777" w:rsidR="00A36E42" w:rsidRPr="00C34DE2" w:rsidRDefault="00A36E42" w:rsidP="0026112E">
            <w:pPr>
              <w:pStyle w:val="TableBlock"/>
            </w:pPr>
            <w:r>
              <w:rPr>
                <w:sz w:val="26"/>
                <w:rtl/>
              </w:rPr>
              <w:t>תחילתו של חוק זה ביום</w:t>
            </w:r>
            <w:r>
              <w:rPr>
                <w:rFonts w:hint="cs"/>
                <w:sz w:val="26"/>
                <w:rtl/>
              </w:rPr>
              <w:t xml:space="preserve"> </w:t>
            </w:r>
            <w:r>
              <w:rPr>
                <w:sz w:val="26"/>
                <w:rtl/>
              </w:rPr>
              <w:t>_______.</w:t>
            </w:r>
          </w:p>
        </w:tc>
      </w:tr>
    </w:tbl>
    <w:p w14:paraId="2BA8D703" w14:textId="77777777" w:rsidR="00A36E42" w:rsidRPr="00176153" w:rsidRDefault="00A36E42" w:rsidP="00A36E42">
      <w:pPr>
        <w:pStyle w:val="HeadDivreiHesber"/>
        <w:rPr>
          <w:rtl/>
        </w:rPr>
      </w:pPr>
      <w:r w:rsidRPr="00E05D63">
        <w:rPr>
          <w:rFonts w:hint="cs"/>
          <w:rtl/>
        </w:rPr>
        <w:t>דברי</w:t>
      </w:r>
      <w:r>
        <w:rPr>
          <w:rFonts w:hint="cs"/>
          <w:rtl/>
        </w:rPr>
        <w:t xml:space="preserve"> הסבר</w:t>
      </w:r>
      <w:r>
        <w:rPr>
          <w:rtl/>
        </w:rPr>
        <w:t xml:space="preserve">  </w:t>
      </w:r>
    </w:p>
    <w:p w14:paraId="074D6768" w14:textId="77777777" w:rsidR="00A36E42" w:rsidRPr="006905BB" w:rsidRDefault="00A36E42" w:rsidP="006905BB">
      <w:pPr>
        <w:pStyle w:val="Hesber"/>
        <w:rPr>
          <w:rtl/>
        </w:rPr>
      </w:pPr>
      <w:r w:rsidRPr="006905BB">
        <w:rPr>
          <w:rtl/>
        </w:rPr>
        <w:t>חוק שעות עבודה ומנוחה, התשי"א</w:t>
      </w:r>
      <w:r w:rsidRPr="006905BB">
        <w:rPr>
          <w:rFonts w:hint="cs"/>
          <w:rtl/>
        </w:rPr>
        <w:t>–</w:t>
      </w:r>
      <w:r w:rsidRPr="006905BB">
        <w:rPr>
          <w:rtl/>
        </w:rPr>
        <w:t>1951, קובע כי מנוחה שבועית של יהודי תכלול את יום השבת. בשנים האחרונות הוחל שבוע עבודה מקוצר של חמישה ימים, במרבית המגזרים במשק יום השישי נקבע כיום מנוחה נוסף, בהיותו יום עבודה קצר הצמוד ליום השבת.</w:t>
      </w:r>
    </w:p>
    <w:p w14:paraId="3F84C80A" w14:textId="5B5A1D94" w:rsidR="00A36E42" w:rsidRPr="006905BB" w:rsidRDefault="00A36E42" w:rsidP="006905BB">
      <w:pPr>
        <w:pStyle w:val="Hesber"/>
        <w:rPr>
          <w:rtl/>
        </w:rPr>
      </w:pPr>
      <w:r w:rsidRPr="006905BB">
        <w:rPr>
          <w:rtl/>
        </w:rPr>
        <w:t xml:space="preserve">מטרתה של הצעת חוק זו לעגן בחוק את יום הראשון כיום מנוחה נוסף, במקום יום השישי הנוהג היום. מוצע כי ביום הראשון תותר העסקת עובדים לצורך קיום פעילות תרבות, חינוך, תחבורה ומסחר קמעונאי. כן מוצע להתיר העסקה במפעלים שיקבע שר </w:t>
      </w:r>
      <w:r w:rsidR="006600A4" w:rsidRPr="006905BB">
        <w:rPr>
          <w:rFonts w:hint="cs"/>
          <w:rtl/>
        </w:rPr>
        <w:t>הכלכלה והתעשייה</w:t>
      </w:r>
      <w:r w:rsidRPr="006905BB">
        <w:rPr>
          <w:rtl/>
        </w:rPr>
        <w:t xml:space="preserve"> על מנת לאפשר פעילות תעשייתית רצופה.</w:t>
      </w:r>
    </w:p>
    <w:p w14:paraId="63FAF781" w14:textId="4FE71256" w:rsidR="00A36E42" w:rsidRPr="006905BB" w:rsidRDefault="00A36E42" w:rsidP="00AE17D2">
      <w:pPr>
        <w:pStyle w:val="Hesber"/>
        <w:rPr>
          <w:rtl/>
        </w:rPr>
      </w:pPr>
      <w:r w:rsidRPr="006905BB">
        <w:rPr>
          <w:rtl/>
        </w:rPr>
        <w:t xml:space="preserve">עובד אשר יעבוד ביום ראשון, יהיה זכאי ליום מנוחה חליפי, נוסף </w:t>
      </w:r>
      <w:r w:rsidR="00AE17D2">
        <w:rPr>
          <w:rFonts w:hint="cs"/>
          <w:rtl/>
        </w:rPr>
        <w:t>ע</w:t>
      </w:r>
      <w:r w:rsidRPr="006905BB">
        <w:rPr>
          <w:rtl/>
        </w:rPr>
        <w:t>ל</w:t>
      </w:r>
      <w:r w:rsidR="00AE17D2">
        <w:rPr>
          <w:rFonts w:hint="cs"/>
          <w:rtl/>
        </w:rPr>
        <w:t xml:space="preserve"> </w:t>
      </w:r>
      <w:r w:rsidRPr="006905BB">
        <w:rPr>
          <w:rtl/>
        </w:rPr>
        <w:t>יום המנוחה שחל ביום השבת.</w:t>
      </w:r>
    </w:p>
    <w:p w14:paraId="0F502000" w14:textId="6EB74CD9" w:rsidR="00A36E42" w:rsidRPr="006905BB" w:rsidRDefault="00A36E42" w:rsidP="00AE17D2">
      <w:pPr>
        <w:pStyle w:val="Hesber"/>
        <w:rPr>
          <w:rtl/>
        </w:rPr>
      </w:pPr>
      <w:r w:rsidRPr="006905BB">
        <w:rPr>
          <w:rtl/>
        </w:rPr>
        <w:t xml:space="preserve">מוצע לקבוע כי ההוראה בדבר תוספת לגמול העבודה במנוחה השבועית הקבוע בסעיף 17 לחוק לא יחול לעניין </w:t>
      </w:r>
      <w:r w:rsidR="006600A4" w:rsidRPr="006905BB">
        <w:rPr>
          <w:rFonts w:hint="cs"/>
          <w:rtl/>
        </w:rPr>
        <w:t>העסקה</w:t>
      </w:r>
      <w:r w:rsidR="006600A4" w:rsidRPr="006905BB">
        <w:rPr>
          <w:rtl/>
        </w:rPr>
        <w:t xml:space="preserve"> </w:t>
      </w:r>
      <w:r w:rsidRPr="006905BB">
        <w:rPr>
          <w:rtl/>
        </w:rPr>
        <w:t xml:space="preserve">ביום ראשון. כן מוצע לקבוע כי </w:t>
      </w:r>
      <w:r w:rsidR="006600A4" w:rsidRPr="006905BB">
        <w:rPr>
          <w:rtl/>
        </w:rPr>
        <w:t>ה</w:t>
      </w:r>
      <w:r w:rsidR="006600A4" w:rsidRPr="006905BB">
        <w:rPr>
          <w:rFonts w:hint="cs"/>
          <w:rtl/>
        </w:rPr>
        <w:t>עסקה</w:t>
      </w:r>
      <w:r w:rsidR="006600A4" w:rsidRPr="006905BB">
        <w:rPr>
          <w:rtl/>
        </w:rPr>
        <w:t xml:space="preserve"> </w:t>
      </w:r>
      <w:r w:rsidRPr="006905BB">
        <w:rPr>
          <w:rtl/>
        </w:rPr>
        <w:t xml:space="preserve">ביום ראשון לא תחשב </w:t>
      </w:r>
      <w:r w:rsidR="006600A4" w:rsidRPr="006905BB">
        <w:rPr>
          <w:rtl/>
        </w:rPr>
        <w:t>כה</w:t>
      </w:r>
      <w:r w:rsidR="006600A4" w:rsidRPr="006905BB">
        <w:rPr>
          <w:rFonts w:hint="cs"/>
          <w:rtl/>
        </w:rPr>
        <w:t>עסקה</w:t>
      </w:r>
      <w:r w:rsidR="006600A4" w:rsidRPr="006905BB">
        <w:rPr>
          <w:rtl/>
        </w:rPr>
        <w:t xml:space="preserve"> </w:t>
      </w:r>
      <w:r w:rsidRPr="006905BB">
        <w:rPr>
          <w:rtl/>
        </w:rPr>
        <w:t>בניגוד לחוק. לפיכך</w:t>
      </w:r>
      <w:r w:rsidR="006600A4" w:rsidRPr="006905BB">
        <w:rPr>
          <w:rFonts w:hint="cs"/>
          <w:rtl/>
        </w:rPr>
        <w:t>,</w:t>
      </w:r>
      <w:r w:rsidRPr="006905BB">
        <w:rPr>
          <w:rtl/>
        </w:rPr>
        <w:t xml:space="preserve"> ההוראה העונשית שבסעיף 26 לא תחול על </w:t>
      </w:r>
      <w:r w:rsidR="006600A4" w:rsidRPr="006905BB">
        <w:rPr>
          <w:rtl/>
        </w:rPr>
        <w:t>הע</w:t>
      </w:r>
      <w:r w:rsidR="006600A4" w:rsidRPr="006905BB">
        <w:rPr>
          <w:rFonts w:hint="cs"/>
          <w:rtl/>
        </w:rPr>
        <w:t>סקה</w:t>
      </w:r>
      <w:r w:rsidR="006600A4" w:rsidRPr="006905BB">
        <w:rPr>
          <w:rtl/>
        </w:rPr>
        <w:t xml:space="preserve"> </w:t>
      </w:r>
      <w:r w:rsidRPr="006905BB">
        <w:rPr>
          <w:rtl/>
        </w:rPr>
        <w:t>ביום ראשון.</w:t>
      </w:r>
    </w:p>
    <w:p w14:paraId="5DEE6B77" w14:textId="77777777" w:rsidR="00A36E42" w:rsidRPr="006905BB" w:rsidRDefault="00A36E42" w:rsidP="006905BB">
      <w:pPr>
        <w:pStyle w:val="Hesber"/>
        <w:rPr>
          <w:rtl/>
        </w:rPr>
      </w:pPr>
      <w:r w:rsidRPr="006905BB">
        <w:rPr>
          <w:rtl/>
        </w:rPr>
        <w:t xml:space="preserve">במרבית מדינות המערב נהוגים שני ימי מנוחה מלאים למשק כולו. הדבר מועיל לתא המשפחתי ומאפשר לבני המשפחה לשהות יחד זמן רב יותר, תוך שהם נוטלים חלק בפעולות פנאי, לרבות פעילות </w:t>
      </w:r>
      <w:r w:rsidRPr="006905BB">
        <w:rPr>
          <w:rtl/>
        </w:rPr>
        <w:lastRenderedPageBreak/>
        <w:t>בתחומי התרבות, החינוך והמסחר הקמעונאי.</w:t>
      </w:r>
    </w:p>
    <w:p w14:paraId="1E9DA886" w14:textId="77777777" w:rsidR="00A36E42" w:rsidRPr="006905BB" w:rsidRDefault="00A36E42" w:rsidP="006905BB">
      <w:pPr>
        <w:pStyle w:val="Hesber"/>
        <w:rPr>
          <w:rtl/>
        </w:rPr>
      </w:pPr>
      <w:r w:rsidRPr="006905BB">
        <w:rPr>
          <w:rtl/>
        </w:rPr>
        <w:t>שינוי זה עשוי להיות בעל משמעות גם בתחומים נוספים בעלי משמעות לחברה הישראלית. כך למשל עשוי השינוי לצמצם מחלוקות בין דתיים וחילונים, צמצום האבטלה והקטנת פערים חברתיים. כן יש לשינוי המוצע השפעות חיוביות על הכלכלה הישראלית והשתלבותה במסחר הבינלאומי.</w:t>
      </w:r>
    </w:p>
    <w:p w14:paraId="2156CC90" w14:textId="2FCA81A1" w:rsidR="00A36E42" w:rsidRPr="006905BB" w:rsidRDefault="00A36E42" w:rsidP="006905BB">
      <w:pPr>
        <w:pStyle w:val="Hesber"/>
        <w:rPr>
          <w:rtl/>
        </w:rPr>
      </w:pPr>
      <w:r w:rsidRPr="006905BB">
        <w:rPr>
          <w:rtl/>
        </w:rPr>
        <w:t>על מנת ליישם השינוי האמור, מוצע לשנות את משך יום העבודה ומספר שעות העבודה השבועיות. חוק שעות עבודה ומנוחה, התשי"א</w:t>
      </w:r>
      <w:r w:rsidRPr="006905BB">
        <w:rPr>
          <w:rFonts w:hint="cs"/>
          <w:rtl/>
        </w:rPr>
        <w:t>–</w:t>
      </w:r>
      <w:r w:rsidRPr="006905BB">
        <w:rPr>
          <w:rtl/>
        </w:rPr>
        <w:t xml:space="preserve">1951, קובע בסעיף 3 כי "שבוע עבודה לא יעלה על ארבעים וחמש שעות עבודה". בפועל, מכוח הוראות ההסכם הקיבוצי הכללי שבין לשכת התיאום של הארגונים הכלכליים, בשם הארגונים המאוגדים בה, לבין ההסתדרות הכללית של העובדים בא"י, האגף לאיגוד מקצועי, ומכוח צו ההרחבה שפורסם בשנת 2000 (י"פ התש"ס, עמ' 4002), הוחל על העובדים </w:t>
      </w:r>
      <w:r w:rsidR="006600A4" w:rsidRPr="006905BB">
        <w:rPr>
          <w:rtl/>
        </w:rPr>
        <w:t>והמ</w:t>
      </w:r>
      <w:r w:rsidR="006600A4" w:rsidRPr="006905BB">
        <w:rPr>
          <w:rFonts w:hint="cs"/>
          <w:rtl/>
        </w:rPr>
        <w:t>עסיקים</w:t>
      </w:r>
      <w:r w:rsidR="006600A4" w:rsidRPr="006905BB">
        <w:rPr>
          <w:rtl/>
        </w:rPr>
        <w:t xml:space="preserve"> </w:t>
      </w:r>
      <w:r w:rsidRPr="006905BB">
        <w:rPr>
          <w:rtl/>
        </w:rPr>
        <w:t>שבוע עבודה בן ארבעים ושלוש שעות עבודה. מוצע להתאים את החוק למצב המשפטי הקיים.</w:t>
      </w:r>
    </w:p>
    <w:p w14:paraId="19F2666A" w14:textId="1B41AC90" w:rsidR="00A36E42" w:rsidRPr="006905BB" w:rsidRDefault="00A36E42" w:rsidP="006905BB">
      <w:pPr>
        <w:pStyle w:val="Hesber"/>
        <w:rPr>
          <w:rtl/>
        </w:rPr>
      </w:pPr>
      <w:r w:rsidRPr="006905BB">
        <w:rPr>
          <w:rtl/>
        </w:rPr>
        <w:t>כן מוצע לקבוע כי יום</w:t>
      </w:r>
      <w:r w:rsidR="00AE17D2">
        <w:rPr>
          <w:rtl/>
        </w:rPr>
        <w:t xml:space="preserve"> עבודה שאינו חל לפני יום המנוחה</w:t>
      </w:r>
      <w:r w:rsidRPr="006905BB">
        <w:rPr>
          <w:rtl/>
        </w:rPr>
        <w:t xml:space="preserve"> יהיה בן תשע שעות במקום שמונה שעות הקבועות היום בחוק.</w:t>
      </w:r>
    </w:p>
    <w:p w14:paraId="034FA988" w14:textId="2EA3AF76" w:rsidR="00A36E42" w:rsidRPr="006905BB" w:rsidRDefault="00A36E42" w:rsidP="00AE17D2">
      <w:pPr>
        <w:pStyle w:val="Hesber"/>
        <w:rPr>
          <w:rtl/>
        </w:rPr>
      </w:pPr>
      <w:r w:rsidRPr="006905BB">
        <w:rPr>
          <w:rtl/>
        </w:rPr>
        <w:t>בסעיף 9</w:t>
      </w:r>
      <w:r w:rsidR="00190E11" w:rsidRPr="006905BB">
        <w:rPr>
          <w:rFonts w:hint="cs"/>
          <w:rtl/>
        </w:rPr>
        <w:t>א</w:t>
      </w:r>
      <w:r w:rsidRPr="006905BB">
        <w:rPr>
          <w:rtl/>
        </w:rPr>
        <w:t xml:space="preserve"> לחוק נעשתה התאמה באשר לעבודה של בעל בית מלאכה וחבר אגודה שיתופית בבית מלאכה או מפעל או במפעל תעשיה של האגודה.</w:t>
      </w:r>
      <w:r w:rsidRPr="006905BB">
        <w:rPr>
          <w:rFonts w:hint="cs"/>
          <w:rtl/>
        </w:rPr>
        <w:tab/>
      </w:r>
    </w:p>
    <w:p w14:paraId="0B9B9589" w14:textId="25769FCA" w:rsidR="00A36E42" w:rsidRDefault="00A36E42" w:rsidP="006905BB">
      <w:pPr>
        <w:pStyle w:val="Hesber"/>
        <w:rPr>
          <w:rtl/>
        </w:rPr>
      </w:pPr>
      <w:r w:rsidRPr="006905BB">
        <w:rPr>
          <w:rFonts w:hint="cs"/>
          <w:rtl/>
        </w:rPr>
        <w:t xml:space="preserve">הצעת חוק זהה הונחה על שולחן הכנסת </w:t>
      </w:r>
      <w:r w:rsidR="00AE17D2">
        <w:rPr>
          <w:rFonts w:hint="cs"/>
          <w:rtl/>
        </w:rPr>
        <w:t>השמונה-</w:t>
      </w:r>
      <w:r w:rsidR="006600A4" w:rsidRPr="006905BB">
        <w:rPr>
          <w:rFonts w:hint="cs"/>
          <w:rtl/>
        </w:rPr>
        <w:t>עשרה</w:t>
      </w:r>
      <w:r w:rsidRPr="006905BB">
        <w:rPr>
          <w:rFonts w:hint="cs"/>
          <w:rtl/>
        </w:rPr>
        <w:t xml:space="preserve"> על ידי חבר הכנסת זבולון אורלב (פ/</w:t>
      </w:r>
      <w:r w:rsidR="006600A4" w:rsidRPr="006905BB">
        <w:rPr>
          <w:rFonts w:hint="cs"/>
          <w:rtl/>
        </w:rPr>
        <w:t>1670</w:t>
      </w:r>
      <w:r w:rsidRPr="006905BB">
        <w:rPr>
          <w:rFonts w:hint="cs"/>
          <w:rtl/>
        </w:rPr>
        <w:t>/</w:t>
      </w:r>
      <w:r w:rsidR="006600A4" w:rsidRPr="006905BB">
        <w:rPr>
          <w:rFonts w:hint="cs"/>
          <w:rtl/>
        </w:rPr>
        <w:t>18</w:t>
      </w:r>
      <w:r w:rsidRPr="006905BB">
        <w:rPr>
          <w:rFonts w:hint="cs"/>
          <w:rtl/>
        </w:rPr>
        <w:t>).</w:t>
      </w:r>
    </w:p>
    <w:p w14:paraId="56A7A7F9" w14:textId="636D3B48" w:rsidR="00AE17D2" w:rsidRDefault="00AE17D2" w:rsidP="006905BB">
      <w:pPr>
        <w:pStyle w:val="Hesber"/>
        <w:rPr>
          <w:rtl/>
        </w:rPr>
      </w:pPr>
      <w:bookmarkStart w:id="8" w:name="_GoBack"/>
      <w:bookmarkEnd w:id="8"/>
    </w:p>
    <w:p w14:paraId="2E969F62" w14:textId="77777777" w:rsidR="00AE17D2" w:rsidRPr="006905BB" w:rsidRDefault="00AE17D2" w:rsidP="006905BB">
      <w:pPr>
        <w:pStyle w:val="Hesber"/>
        <w:rPr>
          <w:rtl/>
        </w:rPr>
      </w:pPr>
    </w:p>
    <w:p w14:paraId="6AC44D08" w14:textId="77777777" w:rsidR="00A36E42" w:rsidRDefault="00A36E42" w:rsidP="00A36E42">
      <w:pPr>
        <w:ind w:left="340" w:firstLine="0"/>
        <w:rPr>
          <w:rFonts w:ascii="David" w:hAnsi="David" w:cs="David"/>
          <w:sz w:val="26"/>
          <w:szCs w:val="26"/>
          <w:rtl/>
        </w:rPr>
      </w:pPr>
    </w:p>
    <w:p w14:paraId="13AE34DC" w14:textId="77777777" w:rsidR="00AE17D2" w:rsidRPr="00D73212" w:rsidRDefault="00AE17D2" w:rsidP="00AE17D2">
      <w:pPr>
        <w:pStyle w:val="Hesber"/>
        <w:rPr>
          <w:color w:val="auto"/>
          <w:rtl/>
          <w:lang w:eastAsia="en-US"/>
        </w:rPr>
      </w:pPr>
      <w:r w:rsidRPr="00D73212">
        <w:rPr>
          <w:color w:val="auto"/>
          <w:rtl/>
          <w:lang w:eastAsia="en-US"/>
        </w:rPr>
        <w:t>---------------------------------</w:t>
      </w:r>
    </w:p>
    <w:p w14:paraId="1D2E8596" w14:textId="77777777" w:rsidR="00AE17D2" w:rsidRPr="00D73212" w:rsidRDefault="00AE17D2" w:rsidP="00AE17D2">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1CC795AC" w14:textId="77777777" w:rsidR="00AE17D2" w:rsidRPr="00D73212" w:rsidRDefault="00AE17D2" w:rsidP="00AE17D2">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2FC5BA95" w14:textId="77777777" w:rsidR="00AE17D2" w:rsidRPr="00317312" w:rsidRDefault="00AE17D2" w:rsidP="00AE17D2">
      <w:pPr>
        <w:pStyle w:val="Hesber"/>
      </w:pPr>
      <w:r>
        <w:rPr>
          <w:rFonts w:hint="cs"/>
          <w:color w:val="auto"/>
          <w:rtl/>
          <w:lang w:eastAsia="en-US"/>
        </w:rPr>
        <w:t>י"ח באדר ב'</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ו</w:t>
      </w:r>
      <w:r w:rsidRPr="00D73212">
        <w:rPr>
          <w:color w:val="auto"/>
          <w:rtl/>
          <w:lang w:eastAsia="en-US"/>
        </w:rPr>
        <w:t xml:space="preserve"> – </w:t>
      </w:r>
      <w:r>
        <w:rPr>
          <w:rFonts w:hint="cs"/>
          <w:color w:val="auto"/>
          <w:rtl/>
          <w:lang w:eastAsia="en-US"/>
        </w:rPr>
        <w:t>28.3</w:t>
      </w:r>
      <w:r w:rsidRPr="00D73212">
        <w:rPr>
          <w:color w:val="auto"/>
          <w:rtl/>
          <w:lang w:eastAsia="en-US"/>
        </w:rPr>
        <w:t>.1</w:t>
      </w:r>
      <w:r>
        <w:rPr>
          <w:rFonts w:hint="cs"/>
          <w:color w:val="auto"/>
          <w:rtl/>
          <w:lang w:eastAsia="en-US"/>
        </w:rPr>
        <w:t>6</w:t>
      </w:r>
    </w:p>
    <w:p w14:paraId="07CC28D1" w14:textId="77777777" w:rsidR="00A36E42" w:rsidRPr="00AE17D2" w:rsidRDefault="00A36E42" w:rsidP="00A36E42">
      <w:pPr>
        <w:ind w:left="340" w:firstLine="0"/>
        <w:rPr>
          <w:rFonts w:ascii="David" w:hAnsi="David" w:cs="David"/>
          <w:sz w:val="26"/>
          <w:szCs w:val="26"/>
          <w:rtl/>
        </w:rPr>
      </w:pPr>
    </w:p>
    <w:p w14:paraId="3E46859C" w14:textId="77777777" w:rsidR="00A36E42" w:rsidRDefault="00A36E42" w:rsidP="00A36E42">
      <w:pPr>
        <w:ind w:left="340" w:firstLine="0"/>
        <w:rPr>
          <w:rFonts w:ascii="David" w:hAnsi="David" w:cs="David"/>
          <w:sz w:val="26"/>
          <w:szCs w:val="26"/>
          <w:rtl/>
        </w:rPr>
      </w:pPr>
    </w:p>
    <w:p w14:paraId="7F6961CB" w14:textId="77777777" w:rsidR="00E13C27" w:rsidRDefault="00E13C27" w:rsidP="00E13C27">
      <w:pPr>
        <w:pStyle w:val="Hesber"/>
        <w:rPr>
          <w:rtl/>
        </w:rPr>
      </w:pPr>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AE17D2">
      <w:rPr>
        <w:rStyle w:val="ab"/>
        <w:noProof/>
        <w:rtl/>
      </w:rPr>
      <w:t>3</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3280878A" w14:textId="77777777" w:rsidR="00A36E42" w:rsidRDefault="00A36E42" w:rsidP="00A36E42">
      <w:pPr>
        <w:pStyle w:val="a4"/>
        <w:rPr>
          <w:rtl/>
        </w:rPr>
      </w:pPr>
      <w:r>
        <w:rPr>
          <w:rStyle w:val="a6"/>
        </w:rPr>
        <w:footnoteRef/>
      </w:r>
      <w:r>
        <w:t xml:space="preserve"> </w:t>
      </w:r>
      <w:r>
        <w:rPr>
          <w:rtl/>
        </w:rPr>
        <w:t xml:space="preserve">ס"ח התשי"א, עמ' 204. </w:t>
      </w:r>
    </w:p>
  </w:footnote>
  <w:footnote w:id="3">
    <w:p w14:paraId="07DC991F" w14:textId="77777777" w:rsidR="00A36E42" w:rsidRDefault="00A36E42" w:rsidP="00A36E42">
      <w:pPr>
        <w:pStyle w:val="a4"/>
      </w:pPr>
      <w:r>
        <w:rPr>
          <w:rStyle w:val="a6"/>
        </w:rPr>
        <w:footnoteRef/>
      </w:r>
      <w:r>
        <w:t xml:space="preserve"> </w:t>
      </w:r>
      <w:r>
        <w:rPr>
          <w:rtl/>
        </w:rPr>
        <w:t xml:space="preserve"> ס"ח התשי"ג, עמ' 115.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90E11"/>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A51FB"/>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600A4"/>
    <w:rsid w:val="006818A9"/>
    <w:rsid w:val="006905BB"/>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36E42"/>
    <w:rsid w:val="00A443CF"/>
    <w:rsid w:val="00A6611D"/>
    <w:rsid w:val="00A82CB7"/>
    <w:rsid w:val="00A942C1"/>
    <w:rsid w:val="00AA2F03"/>
    <w:rsid w:val="00AC36F7"/>
    <w:rsid w:val="00AC63A4"/>
    <w:rsid w:val="00AD239E"/>
    <w:rsid w:val="00AE17D2"/>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5631E"/>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27FD9"/>
    <w:rsid w:val="00F628D6"/>
    <w:rsid w:val="00F67051"/>
    <w:rsid w:val="00F86A1E"/>
    <w:rsid w:val="00FA5E88"/>
    <w:rsid w:val="00FD10B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C0B616F1-C3CA-44AD-9555-01576FDB6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semiHidden/>
    <w:rsid w:val="00FD10BA"/>
    <w:rPr>
      <w:rFonts w:ascii="Arial" w:eastAsia="Arial Unicode MS" w:hAnsi="Arial" w:cs="David"/>
      <w:snapToGrid w:val="0"/>
      <w:color w:val="000000"/>
      <w:sz w:val="14"/>
      <w:lang w:eastAsia="ja-JP"/>
    </w:rPr>
  </w:style>
  <w:style w:type="character" w:styleId="ae">
    <w:name w:val="annotation reference"/>
    <w:basedOn w:val="a0"/>
    <w:semiHidden/>
    <w:unhideWhenUsed/>
    <w:rsid w:val="006600A4"/>
    <w:rPr>
      <w:sz w:val="16"/>
      <w:szCs w:val="16"/>
    </w:rPr>
  </w:style>
  <w:style w:type="paragraph" w:styleId="af">
    <w:name w:val="annotation text"/>
    <w:basedOn w:val="a"/>
    <w:link w:val="af0"/>
    <w:semiHidden/>
    <w:unhideWhenUsed/>
    <w:rsid w:val="006600A4"/>
    <w:pPr>
      <w:spacing w:line="240" w:lineRule="auto"/>
    </w:pPr>
    <w:rPr>
      <w:sz w:val="20"/>
      <w:szCs w:val="20"/>
    </w:rPr>
  </w:style>
  <w:style w:type="character" w:customStyle="1" w:styleId="af0">
    <w:name w:val="טקסט הערה תו"/>
    <w:basedOn w:val="a0"/>
    <w:link w:val="af"/>
    <w:semiHidden/>
    <w:rsid w:val="006600A4"/>
    <w:rPr>
      <w:rFonts w:ascii="Hadasa Roso SL" w:hAnsi="Hadasa Roso SL" w:cs="Hadasa Roso SL"/>
      <w:color w:val="000000"/>
      <w:spacing w:val="1"/>
      <w:lang w:eastAsia="ja-JP"/>
    </w:rPr>
  </w:style>
  <w:style w:type="paragraph" w:styleId="af1">
    <w:name w:val="annotation subject"/>
    <w:basedOn w:val="af"/>
    <w:next w:val="af"/>
    <w:link w:val="af2"/>
    <w:semiHidden/>
    <w:unhideWhenUsed/>
    <w:rsid w:val="006600A4"/>
    <w:rPr>
      <w:b/>
      <w:bCs/>
    </w:rPr>
  </w:style>
  <w:style w:type="character" w:customStyle="1" w:styleId="af2">
    <w:name w:val="נושא הערה תו"/>
    <w:basedOn w:val="af0"/>
    <w:link w:val="af1"/>
    <w:semiHidden/>
    <w:rsid w:val="006600A4"/>
    <w:rPr>
      <w:rFonts w:ascii="Hadasa Roso SL" w:hAnsi="Hadasa Roso SL" w:cs="Hadasa Roso SL"/>
      <w:b/>
      <w:bCs/>
      <w:color w:val="000000"/>
      <w:spacing w:val="1"/>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EAC3E4-D328-421D-BC14-37740BAB7C4E}"/>
</file>

<file path=customXml/itemProps2.xml><?xml version="1.0" encoding="utf-8"?>
<ds:datastoreItem xmlns:ds="http://schemas.openxmlformats.org/officeDocument/2006/customXml" ds:itemID="{88F4AFE3-9455-419C-8851-785A55F44517}">
  <ds:schemaRefs>
    <ds:schemaRef ds:uri="http://www.w3.org/XML/1998/namespace"/>
    <ds:schemaRef ds:uri="http://purl.org/dc/elements/1.1/"/>
    <ds:schemaRef ds:uri="http://schemas.microsoft.com/office/infopath/2007/PartnerControls"/>
    <ds:schemaRef ds:uri="http://schemas.openxmlformats.org/package/2006/metadata/core-properties"/>
    <ds:schemaRef ds:uri="http://purl.org/dc/dcmitype/"/>
    <ds:schemaRef ds:uri="http://schemas.microsoft.com/office/2006/documentManagement/type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92258F8B-02FB-47D5-BB2C-3E2A1F82F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924</Words>
  <Characters>4624</Characters>
  <Application>Microsoft Office Word</Application>
  <DocSecurity>0</DocSecurity>
  <Lines>38</Lines>
  <Paragraphs>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5537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לילך יעיש</cp:lastModifiedBy>
  <cp:revision>10</cp:revision>
  <cp:lastPrinted>2016-03-23T08:05:00Z</cp:lastPrinted>
  <dcterms:created xsi:type="dcterms:W3CDTF">2015-04-20T09:58:00Z</dcterms:created>
  <dcterms:modified xsi:type="dcterms:W3CDTF">2016-03-23T08:05:00Z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2066069</vt:r8>
  </property>
</Properties>
</file>