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562844</w:t>
      </w:r>
      <w:bookmarkEnd w:id="0"/>
    </w:p>
    <w:p w14:paraId="7F6961A2" w14:textId="7D5A248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C97B08">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9A7E8B4" w:rsidR="00E13C27" w:rsidRPr="00CF1AA2" w:rsidRDefault="008F6665" w:rsidP="00955007">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יריב לוין</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פ/585/20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21994370" w14:textId="7BC4E7DD" w:rsidR="00025B15" w:rsidRPr="00025B15" w:rsidRDefault="00A443CF" w:rsidP="00955007">
      <w:pPr>
        <w:pStyle w:val="HeadHatzaotHok"/>
        <w:rPr>
          <w:b w:val="0"/>
          <w:bCs w:val="0"/>
          <w:sz w:val="26"/>
          <w:rtl/>
        </w:rPr>
      </w:pPr>
      <w:bookmarkStart w:id="7" w:name="LGS_Subject"/>
      <w:r>
        <w:rPr>
          <w:rFonts w:hint="cs"/>
          <w:rtl/>
        </w:rPr>
        <w:t>הצעת חוק המרשם הפלילי ותקנת השבים (תיקון – קיצור תקופות התיישנות ומחיקה ומניעת השגת מידע בדרך לא הולמת), התשע"ה–2015</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1248"/>
        <w:gridCol w:w="624"/>
        <w:gridCol w:w="4648"/>
      </w:tblGrid>
      <w:tr w:rsidR="00025B15" w:rsidRPr="00025B15" w14:paraId="66C5EEAE" w14:textId="77777777" w:rsidTr="00480837">
        <w:trPr>
          <w:cantSplit/>
        </w:trPr>
        <w:tc>
          <w:tcPr>
            <w:tcW w:w="1869" w:type="dxa"/>
          </w:tcPr>
          <w:p w14:paraId="0FBCDA49"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14</w:t>
            </w:r>
          </w:p>
        </w:tc>
        <w:tc>
          <w:tcPr>
            <w:tcW w:w="624" w:type="dxa"/>
          </w:tcPr>
          <w:p w14:paraId="5B0ED7A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1.</w:t>
            </w:r>
          </w:p>
        </w:tc>
        <w:tc>
          <w:tcPr>
            <w:tcW w:w="7144" w:type="dxa"/>
            <w:gridSpan w:val="4"/>
          </w:tcPr>
          <w:p w14:paraId="6373A676"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בחוק המרשם הפלילי ותקנת השבים, התשמ"א–1981</w:t>
            </w:r>
            <w:r w:rsidRPr="00025B15">
              <w:rPr>
                <w:rFonts w:ascii="Arial" w:eastAsia="Arial Unicode MS" w:hAnsi="Arial" w:cs="David"/>
                <w:spacing w:val="0"/>
                <w:sz w:val="20"/>
                <w:szCs w:val="26"/>
                <w:vertAlign w:val="superscript"/>
                <w:rtl/>
              </w:rPr>
              <w:footnoteReference w:id="2"/>
            </w:r>
            <w:r w:rsidRPr="00025B15">
              <w:rPr>
                <w:rFonts w:ascii="Arial" w:eastAsia="Arial Unicode MS" w:hAnsi="Arial" w:cs="David"/>
                <w:spacing w:val="0"/>
                <w:sz w:val="20"/>
                <w:szCs w:val="26"/>
                <w:rtl/>
              </w:rPr>
              <w:t xml:space="preserve"> (להלן – החוק העיקרי), בסעיף 14 –</w:t>
            </w:r>
          </w:p>
        </w:tc>
      </w:tr>
      <w:tr w:rsidR="00025B15" w:rsidRPr="00025B15" w14:paraId="1368A18D"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5262860A"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8BD1F00"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7A5B160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 xml:space="preserve">בסעיף קטן (א) – </w:t>
            </w:r>
          </w:p>
        </w:tc>
      </w:tr>
      <w:tr w:rsidR="00025B15" w:rsidRPr="00025B15" w14:paraId="3C1B128E" w14:textId="77777777" w:rsidTr="00480837">
        <w:trPr>
          <w:cantSplit/>
        </w:trPr>
        <w:tc>
          <w:tcPr>
            <w:tcW w:w="1869" w:type="dxa"/>
          </w:tcPr>
          <w:p w14:paraId="300A48B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1594213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ECB368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4F813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"שבע" יבוא "שלוש";</w:t>
            </w:r>
          </w:p>
        </w:tc>
      </w:tr>
      <w:tr w:rsidR="00025B15" w:rsidRPr="00025B15" w14:paraId="06DA11EC" w14:textId="77777777" w:rsidTr="00480837">
        <w:trPr>
          <w:cantSplit/>
        </w:trPr>
        <w:tc>
          <w:tcPr>
            <w:tcW w:w="1869" w:type="dxa"/>
          </w:tcPr>
          <w:p w14:paraId="75A3AEF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37B603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F260F6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229562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"עשר" יבוא "חמש";</w:t>
            </w:r>
          </w:p>
        </w:tc>
      </w:tr>
      <w:tr w:rsidR="00025B15" w:rsidRPr="00025B15" w14:paraId="5C6B34AE" w14:textId="77777777" w:rsidTr="00480837">
        <w:trPr>
          <w:cantSplit/>
        </w:trPr>
        <w:tc>
          <w:tcPr>
            <w:tcW w:w="1869" w:type="dxa"/>
          </w:tcPr>
          <w:p w14:paraId="76EE4DB8"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F288B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17CFEE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734C97D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"שבע" יבוא "שלוש";</w:t>
            </w:r>
          </w:p>
        </w:tc>
      </w:tr>
      <w:tr w:rsidR="00025B15" w:rsidRPr="00025B15" w14:paraId="3BD03675"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7D0DBF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42945E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50FAAD1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 xml:space="preserve">בסעיף קטן (ב) – </w:t>
            </w:r>
          </w:p>
        </w:tc>
      </w:tr>
      <w:tr w:rsidR="00025B15" w:rsidRPr="00025B15" w14:paraId="3E4423F4" w14:textId="77777777" w:rsidTr="00480837">
        <w:trPr>
          <w:cantSplit/>
        </w:trPr>
        <w:tc>
          <w:tcPr>
            <w:tcW w:w="1869" w:type="dxa"/>
          </w:tcPr>
          <w:p w14:paraId="3DC6092F"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15B326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52A8991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904F55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"חמש שנים" יבוא "שנתיים";</w:t>
            </w:r>
          </w:p>
        </w:tc>
      </w:tr>
      <w:tr w:rsidR="00025B15" w:rsidRPr="00025B15" w14:paraId="482DBFE6" w14:textId="77777777" w:rsidTr="00480837">
        <w:trPr>
          <w:cantSplit/>
        </w:trPr>
        <w:tc>
          <w:tcPr>
            <w:tcW w:w="1869" w:type="dxa"/>
          </w:tcPr>
          <w:p w14:paraId="5724275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10573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923E8EB"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1AB6AD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"שבע" יבוא "שלוש";</w:t>
            </w:r>
          </w:p>
        </w:tc>
      </w:tr>
      <w:tr w:rsidR="00025B15" w:rsidRPr="00025B15" w14:paraId="0B2502E5" w14:textId="77777777" w:rsidTr="00480837">
        <w:trPr>
          <w:cantSplit/>
        </w:trPr>
        <w:tc>
          <w:tcPr>
            <w:tcW w:w="1869" w:type="dxa"/>
          </w:tcPr>
          <w:p w14:paraId="1E27AA9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2C7C94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7582917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D149F0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"שלוש שנים" יבוא "שנתיים".</w:t>
            </w:r>
          </w:p>
        </w:tc>
      </w:tr>
      <w:tr w:rsidR="00025B15" w:rsidRPr="00025B15" w14:paraId="666CAFCC" w14:textId="77777777" w:rsidTr="00480837">
        <w:trPr>
          <w:cantSplit/>
        </w:trPr>
        <w:tc>
          <w:tcPr>
            <w:tcW w:w="1869" w:type="dxa"/>
          </w:tcPr>
          <w:p w14:paraId="25ECC5A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16</w:t>
            </w:r>
          </w:p>
        </w:tc>
        <w:tc>
          <w:tcPr>
            <w:tcW w:w="624" w:type="dxa"/>
          </w:tcPr>
          <w:p w14:paraId="0766CB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p>
        </w:tc>
        <w:tc>
          <w:tcPr>
            <w:tcW w:w="7144" w:type="dxa"/>
            <w:gridSpan w:val="4"/>
          </w:tcPr>
          <w:p w14:paraId="0DA3F7F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16 לחוק העיקרי, במקום "עשר" יבוא "חמש".</w:t>
            </w:r>
          </w:p>
        </w:tc>
      </w:tr>
      <w:tr w:rsidR="00025B15" w:rsidRPr="00025B15" w14:paraId="02674828" w14:textId="77777777" w:rsidTr="00480837">
        <w:trPr>
          <w:cantSplit/>
        </w:trPr>
        <w:tc>
          <w:tcPr>
            <w:tcW w:w="1869" w:type="dxa"/>
          </w:tcPr>
          <w:p w14:paraId="72A1029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הוספת סעיף 21א</w:t>
            </w:r>
          </w:p>
        </w:tc>
        <w:tc>
          <w:tcPr>
            <w:tcW w:w="624" w:type="dxa"/>
          </w:tcPr>
          <w:p w14:paraId="25EE5B9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3.</w:t>
            </w:r>
          </w:p>
        </w:tc>
        <w:tc>
          <w:tcPr>
            <w:tcW w:w="7144" w:type="dxa"/>
            <w:gridSpan w:val="4"/>
          </w:tcPr>
          <w:p w14:paraId="443D656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אחרי סעיף 21 לחוק העיקרי יבוא:</w:t>
            </w:r>
          </w:p>
        </w:tc>
      </w:tr>
      <w:tr w:rsidR="00025B15" w:rsidRPr="00025B15" w14:paraId="207217CC" w14:textId="77777777" w:rsidTr="00480837">
        <w:trPr>
          <w:cantSplit/>
          <w:trHeight w:val="60"/>
        </w:trPr>
        <w:tc>
          <w:tcPr>
            <w:tcW w:w="1869" w:type="dxa"/>
          </w:tcPr>
          <w:p w14:paraId="4F47DB0E"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2AB8E98"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2"/>
          </w:tcPr>
          <w:p w14:paraId="5A8A13EA" w14:textId="77777777" w:rsidR="00025B15" w:rsidRPr="00955007" w:rsidRDefault="00025B15" w:rsidP="00955007">
            <w:pPr>
              <w:pStyle w:val="TableInnerSideHeading"/>
              <w:tabs>
                <w:tab w:val="left" w:pos="624"/>
                <w:tab w:val="left" w:pos="1247"/>
              </w:tabs>
              <w:ind w:right="0"/>
            </w:pPr>
            <w:r w:rsidRPr="00955007">
              <w:rPr>
                <w:rtl/>
              </w:rPr>
              <w:t>"שאלות בדבר עברו הפלילי של אדם</w:t>
            </w:r>
          </w:p>
        </w:tc>
        <w:tc>
          <w:tcPr>
            <w:tcW w:w="624" w:type="dxa"/>
          </w:tcPr>
          <w:p w14:paraId="7E2AE8C5" w14:textId="77777777" w:rsidR="00025B15" w:rsidRPr="00025B15" w:rsidRDefault="00025B15" w:rsidP="00025B15">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21א.</w:t>
            </w:r>
          </w:p>
        </w:tc>
        <w:tc>
          <w:tcPr>
            <w:tcW w:w="4648" w:type="dxa"/>
          </w:tcPr>
          <w:p w14:paraId="4F30DBE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שאלה בדבר עברו הפלילי של אדם תיחשב כאילו אינה מתייחסת להרשעה או החלטה לסגור תיק שהתיישנה או שנמחקה, ואדם אינו חייב לגלות מידע זה למי שאינו זכאי לקבל מידע זה."</w:t>
            </w:r>
          </w:p>
        </w:tc>
      </w:tr>
      <w:tr w:rsidR="00025B15" w:rsidRPr="00025B15" w14:paraId="590C85B3" w14:textId="77777777" w:rsidTr="00480837">
        <w:trPr>
          <w:cantSplit/>
        </w:trPr>
        <w:tc>
          <w:tcPr>
            <w:tcW w:w="1869" w:type="dxa"/>
          </w:tcPr>
          <w:p w14:paraId="5407BAE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תיקון סעיף 22</w:t>
            </w:r>
          </w:p>
        </w:tc>
        <w:tc>
          <w:tcPr>
            <w:tcW w:w="624" w:type="dxa"/>
          </w:tcPr>
          <w:p w14:paraId="47995E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4.</w:t>
            </w:r>
          </w:p>
        </w:tc>
        <w:tc>
          <w:tcPr>
            <w:tcW w:w="7144" w:type="dxa"/>
            <w:gridSpan w:val="4"/>
          </w:tcPr>
          <w:p w14:paraId="61D590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22 לחוק העיקרי –</w:t>
            </w:r>
          </w:p>
        </w:tc>
      </w:tr>
      <w:tr w:rsidR="00025B15" w:rsidRPr="00025B15" w14:paraId="549CBBB8" w14:textId="77777777" w:rsidTr="00480837">
        <w:trPr>
          <w:cantSplit/>
        </w:trPr>
        <w:tc>
          <w:tcPr>
            <w:tcW w:w="1869" w:type="dxa"/>
          </w:tcPr>
          <w:p w14:paraId="50720DA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Pr>
          <w:p w14:paraId="4283840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Pr>
          <w:p w14:paraId="4A6D0D1C"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בסעיף קטן (א),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r w:rsidR="00025B15" w:rsidRPr="00025B15" w14:paraId="7B8D0963"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BDA65C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48028CA"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63A9938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בסעיף קטן (ב),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bl>
    <w:p w14:paraId="6CAE2462" w14:textId="77777777" w:rsidR="00025B15" w:rsidRPr="00025B15" w:rsidRDefault="00025B15" w:rsidP="00955007">
      <w:pPr>
        <w:snapToGrid w:val="0"/>
        <w:spacing w:before="120" w:after="120" w:line="360" w:lineRule="auto"/>
        <w:ind w:firstLine="0"/>
        <w:jc w:val="center"/>
        <w:rPr>
          <w:rFonts w:cs="David"/>
          <w:b/>
          <w:spacing w:val="40"/>
          <w:sz w:val="20"/>
          <w:szCs w:val="26"/>
          <w:rtl/>
        </w:rPr>
      </w:pPr>
      <w:r w:rsidRPr="00025B15">
        <w:rPr>
          <w:rFonts w:cs="David"/>
          <w:b/>
          <w:spacing w:val="40"/>
          <w:sz w:val="20"/>
          <w:szCs w:val="26"/>
          <w:rtl/>
        </w:rPr>
        <w:t>דברי הסבר</w:t>
      </w:r>
    </w:p>
    <w:p w14:paraId="6FB6A262"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בהצעת החוק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הפלילי</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ותקנת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השבים משנת 1981, צוין כי "אף</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שאופיו 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החוק</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המוצע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לכאורה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טכני</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שכן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להסדיר</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ניהול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הרשעות, עונשים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והחלטות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אחרות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במשפטים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פליליים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מסירת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המידע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המרשם</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יש</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בשורה חברתית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מתוך מגמתו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לקדם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בעל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תשובה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 xml:space="preserve">בשיקומו" (ה"ח התשמ"א, מס' 1514, עמ' 216). לכן, חוק המרשם הפלילי ותקנת השבים, התשמ"א–1981 (להלן – החוק), קובע כי המשטרה תנהל מרשם פלילי, וכן קובע הוראות לניהול המרשם ומסירת מידע מהמרשם. מסירת מידע כזה על אדם, יש לה השפעה מהותית על חייו. </w:t>
      </w:r>
    </w:p>
    <w:p w14:paraId="4C808143" w14:textId="1C16C65C"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במהלך השנים שבהן הופעל ותוקן החוק חל כרסום בעיקרון של תקנת השבים. תיקים פליליים נחקרים במשך זמן ממושך, ומידע רב, החל משלב מוקדם של פתיחת תיק, שייתכן שלא יגיע לכדי אישום אלא ייסגר בלא כלום, נמסר לגורמים רבים. בנוסף, כמות האנשי</w:t>
      </w:r>
      <w:r w:rsidR="005C694A">
        <w:rPr>
          <w:rFonts w:ascii="Arial" w:eastAsia="Arial Unicode MS" w:hAnsi="Arial" w:cs="David"/>
          <w:spacing w:val="0"/>
          <w:sz w:val="20"/>
          <w:szCs w:val="26"/>
          <w:rtl/>
        </w:rPr>
        <w:t xml:space="preserve">ם שמידע עבורם מופיע במרשם עלה; למעל </w:t>
      </w:r>
      <w:r w:rsidR="005C694A">
        <w:rPr>
          <w:rFonts w:ascii="Arial" w:eastAsia="Arial Unicode MS" w:hAnsi="Arial" w:cs="David" w:hint="cs"/>
          <w:spacing w:val="0"/>
          <w:sz w:val="20"/>
          <w:szCs w:val="26"/>
          <w:rtl/>
        </w:rPr>
        <w:t>ל</w:t>
      </w:r>
      <w:r w:rsidRPr="00025B15">
        <w:rPr>
          <w:rFonts w:ascii="Arial" w:eastAsia="Arial Unicode MS" w:hAnsi="Arial" w:cs="David"/>
          <w:spacing w:val="0"/>
          <w:sz w:val="20"/>
          <w:szCs w:val="26"/>
          <w:rtl/>
        </w:rPr>
        <w:t>מיליון איש במדינה יש רישום ברישומי המשטרה (דוח הוועדה לבחינת חוק המרשם הפלילי ותקנת השבים, התשמ"א–1981, בראשות פרופ' רות קנאי). 70% מבעלי פרט רישום הם בעלי פרט רישום אחד בלבד.</w:t>
      </w:r>
    </w:p>
    <w:p w14:paraId="78EBC453" w14:textId="7EFFF4C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לכן, יש צורך באיזון חדש בין תקנת השבים ופרטיותם של אנשים לבין הצורך של גופים שונים לקבל מידע על הליכים פליליים שתלויים ועומדים נגד אדם, או כאלה שהסתיימו, ולגבי האחרונים, גם כאלה שהסתיימו לפני זמן רב. מוצע, ראשית, לקצר את תקופת</w:t>
      </w:r>
      <w:r w:rsidR="005C694A">
        <w:rPr>
          <w:rFonts w:ascii="Arial" w:eastAsia="Arial Unicode MS" w:hAnsi="Arial" w:cs="David"/>
          <w:spacing w:val="0"/>
          <w:sz w:val="20"/>
          <w:szCs w:val="26"/>
          <w:rtl/>
        </w:rPr>
        <w:t xml:space="preserve"> ההתיישנות הקבועה בסעיף 14 לחוק</w:t>
      </w:r>
      <w:r w:rsidRPr="00025B15">
        <w:rPr>
          <w:rFonts w:ascii="Arial" w:eastAsia="Arial Unicode MS" w:hAnsi="Arial" w:cs="David"/>
          <w:spacing w:val="0"/>
          <w:sz w:val="20"/>
          <w:szCs w:val="26"/>
          <w:rtl/>
        </w:rPr>
        <w:t xml:space="preserve"> ואת תקופת המחיקה הקבועה בסעיף 16 לחוק. לאחר שעברה תקופת ההתיישנות ותקופת המחיקה, החוק קובע כי המידע הפלילי יימסר רק למספר גורמים מצומצם, ולכן ראוי לקצר את התקופות ולאפשר לאדם לחזור לתפקד בחברה מוקדם ככל האפשר, תוך קיום אפשרות למסירת המידע לגורמים מצומצמים במספרם.</w:t>
      </w:r>
    </w:p>
    <w:p w14:paraId="07D78DF4" w14:textId="36B5F95D"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 xml:space="preserve">שנית, מוצע לקבוע בחוק כי מי שאינו זכאי לקבל מידע בדבר עברו הפלילי של אדם, אינו רשאי לדרוש מהאדם למסור את המידע בעצמו, לרבות בשיטות עקיפות כמו שאלות בכתב או תצהיר אצל עורך דין. אם בכל זאת יישאל האדם על עברו הפלילי, האדם יהיה רשאי לענות על השאלה כאילו אינה מתייחסת להרשעה שהתיישנה ולתיק סגור. במהלך קידום הצעת החוק יהיה מקום גם להתייחס לתיקים שנחקרו והחלטה בעניינם לא התקבלה זמן רב. נושא זה עלה לדיון בבית המשפט העליון, בעניין רפאל דיין (ע"א 8189/11 </w:t>
      </w:r>
      <w:r w:rsidRPr="00025B15">
        <w:rPr>
          <w:rFonts w:ascii="Arial" w:eastAsia="Arial Unicode MS" w:hAnsi="Arial" w:cs="David"/>
          <w:b/>
          <w:bCs/>
          <w:spacing w:val="0"/>
          <w:sz w:val="20"/>
          <w:szCs w:val="26"/>
          <w:rtl/>
        </w:rPr>
        <w:t>דיין נ' מפעל הפיס</w:t>
      </w:r>
      <w:r w:rsidR="00816CB9">
        <w:rPr>
          <w:rFonts w:ascii="Arial" w:eastAsia="Arial Unicode MS" w:hAnsi="Arial" w:cs="David" w:hint="cs"/>
          <w:b/>
          <w:bCs/>
          <w:spacing w:val="0"/>
          <w:sz w:val="20"/>
          <w:szCs w:val="26"/>
          <w:rtl/>
        </w:rPr>
        <w:t xml:space="preserve"> </w:t>
      </w:r>
      <w:r w:rsidR="00816CB9">
        <w:rPr>
          <w:rFonts w:ascii="Arial" w:eastAsia="Arial Unicode MS" w:hAnsi="Arial" w:cs="David" w:hint="cs"/>
          <w:spacing w:val="0"/>
          <w:sz w:val="20"/>
          <w:szCs w:val="26"/>
          <w:rtl/>
        </w:rPr>
        <w:t xml:space="preserve">(ניתן ביום </w:t>
      </w:r>
      <w:r w:rsidR="00BE5450">
        <w:rPr>
          <w:rFonts w:ascii="Arial" w:eastAsia="Arial Unicode MS" w:hAnsi="Arial" w:cs="David" w:hint="cs"/>
          <w:spacing w:val="0"/>
          <w:sz w:val="20"/>
          <w:szCs w:val="26"/>
          <w:rtl/>
        </w:rPr>
        <w:t>21 בפברואר 2013</w:t>
      </w:r>
      <w:r w:rsidRPr="00025B15">
        <w:rPr>
          <w:rFonts w:ascii="Arial" w:eastAsia="Arial Unicode MS" w:hAnsi="Arial" w:cs="David"/>
          <w:spacing w:val="0"/>
          <w:sz w:val="20"/>
          <w:szCs w:val="26"/>
          <w:rtl/>
        </w:rPr>
        <w:t xml:space="preserve">), שם נקבע על ידי השופטת ברק-ארז כי "חוק המרשם הפלילי אינו יוצר הסדר שלילי האוסר על בירורים עובדתיים רלוונטיים לקבלת החלטות. הוא רק מסדיר את הסוגיה של העברת מידע מן המרשם הפלילי עצמו" (פסקה 32), ולכן אין זה פסול שגוף, שלא רשאי לקבל מידע מהמרשם, יבקש ממועמד לעבודה להגיש תצהיר אודות עברו הפלילי. לאור הבעייתיות שראה היועץ המשפטי לממשלה בעמדה זו, נעתר בית המשפט העליון לבקשתו לקיים דיון נוסף בשאלות שעלו בפסק הדין. מן הראוי שגם המחוקק ייתן את דעתו לשאלה זו, ולכן מוצע לקבוע במפורש בחוק כי מי שאינו רשאי לקבל מידע מן המרשם אינו רשאי לבקש מהאדם תצהיר או מסמך דומה, וכן כי שאלה בדבר עברו הפלילי של אדם תיחשב כאילו אינה מתייחסת להרשעה שהתיישנה, </w:t>
      </w:r>
      <w:r w:rsidR="00434B95">
        <w:rPr>
          <w:rFonts w:ascii="Arial" w:eastAsia="Arial Unicode MS" w:hAnsi="Arial" w:cs="David"/>
          <w:spacing w:val="0"/>
          <w:sz w:val="20"/>
          <w:szCs w:val="26"/>
          <w:rtl/>
        </w:rPr>
        <w:t>או לתיק שנסגר על ידי המשטרה.</w:t>
      </w:r>
      <w:r w:rsidRPr="00025B15">
        <w:rPr>
          <w:rFonts w:ascii="Arial" w:eastAsia="Arial Unicode MS" w:hAnsi="Arial" w:cs="David"/>
          <w:spacing w:val="0"/>
          <w:sz w:val="20"/>
          <w:szCs w:val="26"/>
          <w:rtl/>
        </w:rPr>
        <w:t xml:space="preserve"> הסדר זה ישמור על האיזון הנאות בין זכותו של אדם לתקנת השבים, לבין האינטרס של מעביד לקבל את המידע הרלבנטי לצורך קבלת אדם לעבודה – איזון שבו עוסק, לכל ארכו, חוק המרשם הפלילי. </w:t>
      </w:r>
    </w:p>
    <w:p w14:paraId="4D231A04"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הצעת חוק זהה הונחה על שולחן הכנסת התשע-עשרה על ידי חבר הכנסת יריב לוין (פ/2130/19).</w:t>
      </w:r>
    </w:p>
    <w:p w14:paraId="3104C7B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F6EDAAD"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C7E9D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D57568B" w:rsidR="00E13C27" w:rsidRDefault="00381C2F" w:rsidP="00955007">
      <w:pPr>
        <w:pStyle w:val="Hesber"/>
        <w:spacing w:line="240" w:lineRule="auto"/>
        <w:rPr>
          <w:rtl/>
        </w:rPr>
      </w:pPr>
      <w:r>
        <w:rPr>
          <w:rFonts w:hint="cs"/>
          <w:rtl/>
        </w:rPr>
        <w:t>כ"ב</w:t>
      </w:r>
      <w:r w:rsidRPr="00557D2C">
        <w:rPr>
          <w:rFonts w:hint="cs"/>
          <w:rtl/>
        </w:rPr>
        <w:t xml:space="preserve"> באייר התשע"ה </w:t>
      </w:r>
      <w:r w:rsidRPr="00557D2C">
        <w:rPr>
          <w:rtl/>
        </w:rPr>
        <w:t>–</w:t>
      </w:r>
      <w:r>
        <w:rPr>
          <w:rFonts w:hint="cs"/>
          <w:rtl/>
        </w:rPr>
        <w:t xml:space="preserve"> 11.5.15</w:t>
      </w:r>
      <w:bookmarkStart w:id="8" w:name="_GoBack"/>
      <w:bookmarkEnd w:id="8"/>
    </w:p>
    <w:sectPr w:rsidR="00E13C27" w:rsidSect="00955007">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55007">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9342218" w14:textId="77777777" w:rsidR="00025B15" w:rsidRDefault="00025B15" w:rsidP="00025B15">
      <w:pPr>
        <w:pStyle w:val="a4"/>
      </w:pPr>
      <w:r>
        <w:rPr>
          <w:rStyle w:val="a5"/>
        </w:rPr>
        <w:footnoteRef/>
      </w:r>
      <w:r>
        <w:rPr>
          <w:rtl/>
        </w:rPr>
        <w:t xml:space="preserve"> ס"ח התשמ"א, עמ' 322.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B15"/>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1C2F"/>
    <w:rsid w:val="00386E88"/>
    <w:rsid w:val="00396585"/>
    <w:rsid w:val="003D74A0"/>
    <w:rsid w:val="004033D8"/>
    <w:rsid w:val="004073F0"/>
    <w:rsid w:val="00412A7D"/>
    <w:rsid w:val="00416B4D"/>
    <w:rsid w:val="00417CFC"/>
    <w:rsid w:val="00434B95"/>
    <w:rsid w:val="004B24ED"/>
    <w:rsid w:val="004D2D82"/>
    <w:rsid w:val="004D3876"/>
    <w:rsid w:val="004E4552"/>
    <w:rsid w:val="00553C9D"/>
    <w:rsid w:val="00562A66"/>
    <w:rsid w:val="005B064E"/>
    <w:rsid w:val="005C694A"/>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16CB9"/>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5007"/>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E5450"/>
    <w:rsid w:val="00BF148D"/>
    <w:rsid w:val="00C23B1A"/>
    <w:rsid w:val="00C310EB"/>
    <w:rsid w:val="00C9176A"/>
    <w:rsid w:val="00C97B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D3AE5BD-68E8-477F-B50A-77EBA5863CD0}"/>
</file>

<file path=customXml/itemProps4.xml><?xml version="1.0" encoding="utf-8"?>
<ds:datastoreItem xmlns:ds="http://schemas.openxmlformats.org/officeDocument/2006/customXml" ds:itemID="{48612CA3-5E3D-4366-99B9-40091118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713</Words>
  <Characters>3568</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2015-05-06T12:34:00Z</cp:lastPrinted>
  <dcterms:created xsi:type="dcterms:W3CDTF">2015-03-26T08:06:00Z</dcterms:created>
  <dcterms:modified xsi:type="dcterms:W3CDTF">2015-05-06T12:34:00Z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2065426</vt:r8>
  </property>
</Properties>
</file>