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2012323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0D82FB72" w:rsidR="00E13C27" w:rsidRPr="00CF1AA2" w:rsidRDefault="008F6665" w:rsidP="00CF14B3">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 xml:space="preserve">יוליה </w:t>
      </w:r>
      <w:proofErr w:type="spellStart"/>
      <w:r>
        <w:rPr>
          <w:rFonts w:hint="cs"/>
          <w:b/>
          <w:bCs/>
          <w:rtl/>
        </w:rPr>
        <w:t>מלינובסקי</w:t>
      </w:r>
      <w:proofErr w:type="spellEnd"/>
      <w:r>
        <w:br/>
      </w:r>
      <w:r>
        <w:rPr>
          <w:rFonts w:hint="cs"/>
          <w:b/>
          <w:bCs/>
          <w:rtl/>
        </w:rPr>
        <w:t xml:space="preserve"> </w:t>
      </w:r>
      <w:r>
        <w:tab/>
      </w:r>
      <w:r>
        <w:tab/>
      </w:r>
      <w:r>
        <w:tab/>
      </w:r>
      <w:r>
        <w:tab/>
      </w:r>
      <w:r>
        <w:rPr>
          <w:rFonts w:hint="cs"/>
          <w:b/>
          <w:bCs/>
          <w:rtl/>
        </w:rPr>
        <w:t xml:space="preserve">רוברט </w:t>
      </w:r>
      <w:proofErr w:type="spellStart"/>
      <w:r>
        <w:rPr>
          <w:rFonts w:hint="cs"/>
          <w:b/>
          <w:bCs/>
          <w:rtl/>
        </w:rPr>
        <w:t>אילטוב</w:t>
      </w:r>
      <w:proofErr w:type="spellEnd"/>
      <w:r>
        <w:br/>
      </w:r>
      <w:r>
        <w:rPr>
          <w:rFonts w:hint="cs"/>
          <w:b/>
          <w:bCs/>
          <w:rtl/>
        </w:rPr>
        <w:t xml:space="preserve"> </w:t>
      </w:r>
      <w:r>
        <w:tab/>
      </w:r>
      <w:r>
        <w:tab/>
      </w:r>
      <w:r>
        <w:tab/>
      </w:r>
      <w:r>
        <w:tab/>
      </w:r>
      <w:r>
        <w:rPr>
          <w:rFonts w:hint="cs"/>
          <w:b/>
          <w:bCs/>
          <w:rtl/>
        </w:rPr>
        <w:t>חמד עמאר</w:t>
      </w:r>
      <w:r>
        <w:br/>
      </w:r>
      <w:r>
        <w:rPr>
          <w:rFonts w:hint="cs"/>
          <w:b/>
          <w:bCs/>
          <w:rtl/>
        </w:rPr>
        <w:t xml:space="preserve"> </w:t>
      </w:r>
      <w:r>
        <w:tab/>
      </w:r>
      <w:r>
        <w:tab/>
      </w:r>
      <w:r>
        <w:tab/>
      </w:r>
      <w:r>
        <w:tab/>
      </w:r>
      <w:r>
        <w:rPr>
          <w:rFonts w:hint="cs"/>
          <w:b/>
          <w:bCs/>
          <w:rtl/>
        </w:rPr>
        <w:t>עודד פורר</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0E6F4250" w:rsidR="00E13C27" w:rsidRDefault="00904591" w:rsidP="00F479B3">
      <w:pPr>
        <w:pStyle w:val="David"/>
        <w:spacing w:before="0" w:line="240" w:lineRule="auto"/>
        <w:ind w:left="3544"/>
        <w:rPr>
          <w:rtl/>
        </w:rPr>
      </w:pPr>
      <w:r>
        <w:t xml:space="preserve">                                            </w:t>
      </w:r>
      <w:r w:rsidR="008F1308">
        <w:t xml:space="preserve"> </w:t>
      </w:r>
      <w:bookmarkStart w:id="7" w:name="Private_Number"/>
      <w:r>
        <w:rPr>
          <w:rFonts w:hint="cs"/>
          <w:rtl/>
        </w:rPr>
        <w:t>פ/3729/20</w:t>
      </w:r>
      <w:bookmarkEnd w:id="7"/>
    </w:p>
    <w:p w14:paraId="7F6961AD" w14:textId="2532FD1F" w:rsidR="00E13C27" w:rsidRPr="00F67051" w:rsidRDefault="00A443CF" w:rsidP="00797625">
      <w:pPr>
        <w:pStyle w:val="HeadHatzaotHok"/>
        <w:rPr>
          <w:rtl/>
        </w:rPr>
      </w:pPr>
      <w:bookmarkStart w:id="8" w:name="LGS_Subject"/>
      <w:r>
        <w:rPr>
          <w:rFonts w:hint="cs"/>
          <w:rtl/>
        </w:rPr>
        <w:t xml:space="preserve">הצעת חוק חסימת קו טלפון של ספק שירותי מין, </w:t>
      </w:r>
      <w:proofErr w:type="spellStart"/>
      <w:r>
        <w:rPr>
          <w:rFonts w:hint="cs"/>
          <w:rtl/>
        </w:rPr>
        <w:t>התשע"ז</w:t>
      </w:r>
      <w:proofErr w:type="spellEnd"/>
      <w:r w:rsidR="00797625">
        <w:rPr>
          <w:rFonts w:hint="cs"/>
          <w:rtl/>
        </w:rPr>
        <w:t>–</w:t>
      </w:r>
      <w:r>
        <w:rPr>
          <w:rFonts w:hint="cs"/>
          <w:rtl/>
        </w:rPr>
        <w:t>2017</w:t>
      </w:r>
      <w:bookmarkEnd w:id="8"/>
    </w:p>
    <w:p w14:paraId="7F6961AE" w14:textId="77777777" w:rsidR="00E13C27" w:rsidRDefault="00E13C27" w:rsidP="0021633A">
      <w:pPr>
        <w:pStyle w:val="HeadDivreiHesber"/>
        <w:spacing w:before="0" w:after="0"/>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D4129E" w14:paraId="126A1A50" w14:textId="77777777" w:rsidTr="0011075B">
        <w:trPr>
          <w:cantSplit/>
        </w:trPr>
        <w:tc>
          <w:tcPr>
            <w:tcW w:w="1872" w:type="dxa"/>
            <w:tcMar>
              <w:top w:w="91" w:type="dxa"/>
              <w:left w:w="0" w:type="dxa"/>
              <w:bottom w:w="91" w:type="dxa"/>
              <w:right w:w="0" w:type="dxa"/>
            </w:tcMar>
            <w:hideMark/>
          </w:tcPr>
          <w:p w14:paraId="009F90A9" w14:textId="77777777" w:rsidR="00D4129E" w:rsidRDefault="00D4129E" w:rsidP="0011075B">
            <w:pPr>
              <w:pStyle w:val="TableSideHeading"/>
              <w:rPr>
                <w:sz w:val="26"/>
              </w:rPr>
            </w:pPr>
            <w:r>
              <w:rPr>
                <w:rFonts w:hint="cs"/>
                <w:sz w:val="26"/>
                <w:rtl/>
              </w:rPr>
              <w:t>הגדרות</w:t>
            </w:r>
          </w:p>
        </w:tc>
        <w:tc>
          <w:tcPr>
            <w:tcW w:w="624" w:type="dxa"/>
            <w:tcMar>
              <w:top w:w="91" w:type="dxa"/>
              <w:left w:w="0" w:type="dxa"/>
              <w:bottom w:w="91" w:type="dxa"/>
              <w:right w:w="0" w:type="dxa"/>
            </w:tcMar>
            <w:hideMark/>
          </w:tcPr>
          <w:p w14:paraId="047D6350" w14:textId="77777777" w:rsidR="00D4129E" w:rsidRDefault="00D4129E" w:rsidP="0011075B">
            <w:pPr>
              <w:pStyle w:val="TableText"/>
              <w:rPr>
                <w:sz w:val="26"/>
              </w:rPr>
            </w:pPr>
            <w:r>
              <w:rPr>
                <w:rFonts w:hint="cs"/>
                <w:sz w:val="26"/>
                <w:rtl/>
              </w:rPr>
              <w:t>1.</w:t>
            </w:r>
          </w:p>
        </w:tc>
        <w:tc>
          <w:tcPr>
            <w:tcW w:w="7149" w:type="dxa"/>
            <w:tcMar>
              <w:top w:w="91" w:type="dxa"/>
              <w:left w:w="0" w:type="dxa"/>
              <w:bottom w:w="91" w:type="dxa"/>
              <w:right w:w="0" w:type="dxa"/>
            </w:tcMar>
            <w:hideMark/>
          </w:tcPr>
          <w:p w14:paraId="5957A537" w14:textId="77777777" w:rsidR="00D4129E" w:rsidRDefault="00D4129E" w:rsidP="0011075B">
            <w:pPr>
              <w:pStyle w:val="TableBlock"/>
              <w:rPr>
                <w:sz w:val="26"/>
                <w:rtl/>
              </w:rPr>
            </w:pPr>
            <w:r>
              <w:rPr>
                <w:rFonts w:hint="cs"/>
                <w:sz w:val="26"/>
                <w:rtl/>
              </w:rPr>
              <w:t xml:space="preserve">בחוק זה – </w:t>
            </w:r>
          </w:p>
        </w:tc>
      </w:tr>
      <w:tr w:rsidR="00D4129E" w14:paraId="6A043C67" w14:textId="77777777" w:rsidTr="0011075B">
        <w:trPr>
          <w:cantSplit/>
        </w:trPr>
        <w:tc>
          <w:tcPr>
            <w:tcW w:w="1872" w:type="dxa"/>
            <w:tcMar>
              <w:top w:w="91" w:type="dxa"/>
              <w:left w:w="0" w:type="dxa"/>
              <w:bottom w:w="91" w:type="dxa"/>
              <w:right w:w="0" w:type="dxa"/>
            </w:tcMar>
          </w:tcPr>
          <w:p w14:paraId="0B8035CC" w14:textId="77777777" w:rsidR="00D4129E" w:rsidRDefault="00D4129E" w:rsidP="0011075B">
            <w:pPr>
              <w:pStyle w:val="TableSideHeading"/>
              <w:rPr>
                <w:sz w:val="26"/>
              </w:rPr>
            </w:pPr>
          </w:p>
        </w:tc>
        <w:tc>
          <w:tcPr>
            <w:tcW w:w="624" w:type="dxa"/>
            <w:tcMar>
              <w:top w:w="91" w:type="dxa"/>
              <w:left w:w="0" w:type="dxa"/>
              <w:bottom w:w="91" w:type="dxa"/>
              <w:right w:w="0" w:type="dxa"/>
            </w:tcMar>
          </w:tcPr>
          <w:p w14:paraId="509C9891"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2295DB21" w14:textId="77777777" w:rsidR="00D4129E" w:rsidRDefault="00D4129E" w:rsidP="0011075B">
            <w:pPr>
              <w:pStyle w:val="TableBlockOutdent"/>
              <w:rPr>
                <w:rtl/>
              </w:rPr>
            </w:pPr>
            <w:r>
              <w:rPr>
                <w:rFonts w:hint="cs"/>
                <w:rtl/>
              </w:rPr>
              <w:t>"השר הממונה" – השר לביטחון הפנים;</w:t>
            </w:r>
          </w:p>
        </w:tc>
      </w:tr>
      <w:tr w:rsidR="00D4129E" w14:paraId="0FD831F8" w14:textId="77777777" w:rsidTr="0011075B">
        <w:trPr>
          <w:cantSplit/>
        </w:trPr>
        <w:tc>
          <w:tcPr>
            <w:tcW w:w="1872" w:type="dxa"/>
            <w:tcMar>
              <w:top w:w="91" w:type="dxa"/>
              <w:left w:w="0" w:type="dxa"/>
              <w:bottom w:w="91" w:type="dxa"/>
              <w:right w:w="0" w:type="dxa"/>
            </w:tcMar>
          </w:tcPr>
          <w:p w14:paraId="3F8E3D32" w14:textId="77777777" w:rsidR="00D4129E" w:rsidRDefault="00D4129E" w:rsidP="0011075B">
            <w:pPr>
              <w:pStyle w:val="TableSideHeading"/>
              <w:rPr>
                <w:sz w:val="26"/>
                <w:rtl/>
              </w:rPr>
            </w:pPr>
          </w:p>
        </w:tc>
        <w:tc>
          <w:tcPr>
            <w:tcW w:w="624" w:type="dxa"/>
            <w:tcMar>
              <w:top w:w="91" w:type="dxa"/>
              <w:left w:w="0" w:type="dxa"/>
              <w:bottom w:w="91" w:type="dxa"/>
              <w:right w:w="0" w:type="dxa"/>
            </w:tcMar>
          </w:tcPr>
          <w:p w14:paraId="4ECE71B8"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60ED6F6A" w14:textId="77777777" w:rsidR="00D4129E" w:rsidRDefault="00D4129E" w:rsidP="0011075B">
            <w:pPr>
              <w:pStyle w:val="TableBlockOutdent"/>
              <w:rPr>
                <w:rtl/>
              </w:rPr>
            </w:pPr>
            <w:r>
              <w:rPr>
                <w:rFonts w:hint="cs"/>
                <w:rtl/>
              </w:rPr>
              <w:t xml:space="preserve">"חוק נתוני תקשורת" – חוק סדר הדין הפלילי (סמכויות אכיפה – נתוני תקשורת), </w:t>
            </w:r>
            <w:proofErr w:type="spellStart"/>
            <w:r>
              <w:rPr>
                <w:rFonts w:hint="cs"/>
                <w:rtl/>
              </w:rPr>
              <w:t>התשס"ח</w:t>
            </w:r>
            <w:proofErr w:type="spellEnd"/>
            <w:r>
              <w:rPr>
                <w:rFonts w:hint="cs"/>
                <w:rtl/>
              </w:rPr>
              <w:t>–2007</w:t>
            </w:r>
            <w:r>
              <w:rPr>
                <w:vertAlign w:val="superscript"/>
                <w:rtl/>
              </w:rPr>
              <w:footnoteReference w:id="2"/>
            </w:r>
            <w:r>
              <w:rPr>
                <w:rFonts w:hint="cs"/>
                <w:rtl/>
              </w:rPr>
              <w:t>;</w:t>
            </w:r>
          </w:p>
        </w:tc>
      </w:tr>
      <w:tr w:rsidR="00D4129E" w14:paraId="63CD31C7" w14:textId="77777777" w:rsidTr="0011075B">
        <w:trPr>
          <w:cantSplit/>
        </w:trPr>
        <w:tc>
          <w:tcPr>
            <w:tcW w:w="1872" w:type="dxa"/>
            <w:tcMar>
              <w:top w:w="91" w:type="dxa"/>
              <w:left w:w="0" w:type="dxa"/>
              <w:bottom w:w="91" w:type="dxa"/>
              <w:right w:w="0" w:type="dxa"/>
            </w:tcMar>
          </w:tcPr>
          <w:p w14:paraId="74019F41" w14:textId="77777777" w:rsidR="00D4129E" w:rsidRDefault="00D4129E" w:rsidP="0011075B">
            <w:pPr>
              <w:pStyle w:val="TableSideHeading"/>
              <w:rPr>
                <w:sz w:val="26"/>
                <w:rtl/>
              </w:rPr>
            </w:pPr>
          </w:p>
        </w:tc>
        <w:tc>
          <w:tcPr>
            <w:tcW w:w="624" w:type="dxa"/>
            <w:tcMar>
              <w:top w:w="91" w:type="dxa"/>
              <w:left w:w="0" w:type="dxa"/>
              <w:bottom w:w="91" w:type="dxa"/>
              <w:right w:w="0" w:type="dxa"/>
            </w:tcMar>
          </w:tcPr>
          <w:p w14:paraId="7D47683C"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3776CE18" w14:textId="77777777" w:rsidR="00D4129E" w:rsidRDefault="00D4129E" w:rsidP="0011075B">
            <w:pPr>
              <w:pStyle w:val="TableBlockOutdent"/>
              <w:rPr>
                <w:rtl/>
              </w:rPr>
            </w:pPr>
            <w:r>
              <w:rPr>
                <w:rFonts w:hint="cs"/>
                <w:rtl/>
              </w:rPr>
              <w:t xml:space="preserve">"חוק התקשורת" – חוק התקשורת (בזק ושידורים), </w:t>
            </w:r>
            <w:proofErr w:type="spellStart"/>
            <w:r>
              <w:rPr>
                <w:rFonts w:hint="cs"/>
                <w:rtl/>
              </w:rPr>
              <w:t>התשמ"ב</w:t>
            </w:r>
            <w:proofErr w:type="spellEnd"/>
            <w:r>
              <w:rPr>
                <w:rFonts w:hint="cs"/>
                <w:rtl/>
              </w:rPr>
              <w:t>–1982</w:t>
            </w:r>
            <w:r>
              <w:rPr>
                <w:vertAlign w:val="superscript"/>
                <w:rtl/>
              </w:rPr>
              <w:footnoteReference w:id="3"/>
            </w:r>
            <w:r>
              <w:rPr>
                <w:rFonts w:hint="cs"/>
                <w:rtl/>
              </w:rPr>
              <w:t>;</w:t>
            </w:r>
          </w:p>
        </w:tc>
      </w:tr>
      <w:tr w:rsidR="00D4129E" w14:paraId="157E5446" w14:textId="77777777" w:rsidTr="0011075B">
        <w:trPr>
          <w:cantSplit/>
        </w:trPr>
        <w:tc>
          <w:tcPr>
            <w:tcW w:w="1872" w:type="dxa"/>
            <w:tcMar>
              <w:top w:w="91" w:type="dxa"/>
              <w:left w:w="0" w:type="dxa"/>
              <w:bottom w:w="91" w:type="dxa"/>
              <w:right w:w="0" w:type="dxa"/>
            </w:tcMar>
          </w:tcPr>
          <w:p w14:paraId="51FB8EEF" w14:textId="77777777" w:rsidR="00D4129E" w:rsidRDefault="00D4129E" w:rsidP="0011075B">
            <w:pPr>
              <w:pStyle w:val="TableSideHeading"/>
              <w:rPr>
                <w:sz w:val="26"/>
                <w:rtl/>
              </w:rPr>
            </w:pPr>
          </w:p>
        </w:tc>
        <w:tc>
          <w:tcPr>
            <w:tcW w:w="624" w:type="dxa"/>
            <w:tcMar>
              <w:top w:w="91" w:type="dxa"/>
              <w:left w:w="0" w:type="dxa"/>
              <w:bottom w:w="91" w:type="dxa"/>
              <w:right w:w="0" w:type="dxa"/>
            </w:tcMar>
          </w:tcPr>
          <w:p w14:paraId="3AA75964"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411D20C1" w14:textId="77777777" w:rsidR="00D4129E" w:rsidRDefault="00D4129E" w:rsidP="0011075B">
            <w:pPr>
              <w:pStyle w:val="TableBlockOutdent"/>
              <w:rPr>
                <w:rtl/>
              </w:rPr>
            </w:pPr>
            <w:r>
              <w:rPr>
                <w:rFonts w:hint="cs"/>
                <w:rtl/>
              </w:rPr>
              <w:t>"חסימה" – מניעת הגישה של מספר טלפון המשמש לעבירה לפי הגדרתה בחוק זה, לרשת התקשורת של מפעיל סלולרי;</w:t>
            </w:r>
          </w:p>
        </w:tc>
      </w:tr>
      <w:tr w:rsidR="00D4129E" w14:paraId="03C42BD2" w14:textId="77777777" w:rsidTr="0011075B">
        <w:trPr>
          <w:cantSplit/>
        </w:trPr>
        <w:tc>
          <w:tcPr>
            <w:tcW w:w="1872" w:type="dxa"/>
            <w:tcMar>
              <w:top w:w="91" w:type="dxa"/>
              <w:left w:w="0" w:type="dxa"/>
              <w:bottom w:w="91" w:type="dxa"/>
              <w:right w:w="0" w:type="dxa"/>
            </w:tcMar>
          </w:tcPr>
          <w:p w14:paraId="2A73B1D6" w14:textId="77777777" w:rsidR="00D4129E" w:rsidRDefault="00D4129E" w:rsidP="0011075B">
            <w:pPr>
              <w:pStyle w:val="TableSideHeading"/>
              <w:rPr>
                <w:sz w:val="26"/>
                <w:rtl/>
              </w:rPr>
            </w:pPr>
          </w:p>
        </w:tc>
        <w:tc>
          <w:tcPr>
            <w:tcW w:w="624" w:type="dxa"/>
            <w:tcMar>
              <w:top w:w="91" w:type="dxa"/>
              <w:left w:w="0" w:type="dxa"/>
              <w:bottom w:w="91" w:type="dxa"/>
              <w:right w:w="0" w:type="dxa"/>
            </w:tcMar>
          </w:tcPr>
          <w:p w14:paraId="337A1F42"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6F0DE983" w14:textId="77777777" w:rsidR="00D4129E" w:rsidRDefault="00D4129E" w:rsidP="0011075B">
            <w:pPr>
              <w:pStyle w:val="TableBlockOutdent"/>
              <w:rPr>
                <w:rtl/>
              </w:rPr>
            </w:pPr>
            <w:r>
              <w:rPr>
                <w:rFonts w:hint="cs"/>
                <w:rtl/>
              </w:rPr>
              <w:t xml:space="preserve">"מכשיר טלפון סלולרי" – ציוד קצה רדיו טלפון נייד כמשמעותו בחוק התקשורת;  </w:t>
            </w:r>
          </w:p>
        </w:tc>
      </w:tr>
      <w:tr w:rsidR="00D4129E" w14:paraId="240B3ACB" w14:textId="77777777" w:rsidTr="0011075B">
        <w:trPr>
          <w:cantSplit/>
        </w:trPr>
        <w:tc>
          <w:tcPr>
            <w:tcW w:w="1872" w:type="dxa"/>
            <w:tcMar>
              <w:top w:w="91" w:type="dxa"/>
              <w:left w:w="0" w:type="dxa"/>
              <w:bottom w:w="91" w:type="dxa"/>
              <w:right w:w="0" w:type="dxa"/>
            </w:tcMar>
          </w:tcPr>
          <w:p w14:paraId="17D1DA0E" w14:textId="77777777" w:rsidR="00D4129E" w:rsidRDefault="00D4129E" w:rsidP="0011075B">
            <w:pPr>
              <w:pStyle w:val="TableSideHeading"/>
              <w:rPr>
                <w:sz w:val="26"/>
                <w:rtl/>
              </w:rPr>
            </w:pPr>
          </w:p>
        </w:tc>
        <w:tc>
          <w:tcPr>
            <w:tcW w:w="624" w:type="dxa"/>
            <w:tcMar>
              <w:top w:w="91" w:type="dxa"/>
              <w:left w:w="0" w:type="dxa"/>
              <w:bottom w:w="91" w:type="dxa"/>
              <w:right w:w="0" w:type="dxa"/>
            </w:tcMar>
          </w:tcPr>
          <w:p w14:paraId="68A6F87E"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6897D675" w14:textId="77777777" w:rsidR="00D4129E" w:rsidRDefault="00D4129E" w:rsidP="00CF14B3">
            <w:pPr>
              <w:pStyle w:val="TableBlockOutdent"/>
              <w:rPr>
                <w:rtl/>
              </w:rPr>
            </w:pPr>
            <w:r>
              <w:rPr>
                <w:rFonts w:hint="cs"/>
                <w:rtl/>
              </w:rPr>
              <w:t>"מפעיל סלולרי" – מי שנותן שירותי רדיו טלפון נייד מכוח רישיון כללי לפי חוק התקשורת;</w:t>
            </w:r>
          </w:p>
        </w:tc>
      </w:tr>
      <w:tr w:rsidR="00D4129E" w14:paraId="223617CD" w14:textId="77777777" w:rsidTr="0011075B">
        <w:trPr>
          <w:cantSplit/>
        </w:trPr>
        <w:tc>
          <w:tcPr>
            <w:tcW w:w="1872" w:type="dxa"/>
            <w:tcMar>
              <w:top w:w="91" w:type="dxa"/>
              <w:left w:w="0" w:type="dxa"/>
              <w:bottom w:w="91" w:type="dxa"/>
              <w:right w:w="0" w:type="dxa"/>
            </w:tcMar>
          </w:tcPr>
          <w:p w14:paraId="5DDB53FD" w14:textId="77777777" w:rsidR="00D4129E" w:rsidRDefault="00D4129E" w:rsidP="0011075B">
            <w:pPr>
              <w:pStyle w:val="TableSideHeading"/>
              <w:rPr>
                <w:sz w:val="26"/>
                <w:rtl/>
              </w:rPr>
            </w:pPr>
          </w:p>
        </w:tc>
        <w:tc>
          <w:tcPr>
            <w:tcW w:w="624" w:type="dxa"/>
            <w:tcMar>
              <w:top w:w="91" w:type="dxa"/>
              <w:left w:w="0" w:type="dxa"/>
              <w:bottom w:w="91" w:type="dxa"/>
              <w:right w:w="0" w:type="dxa"/>
            </w:tcMar>
          </w:tcPr>
          <w:p w14:paraId="4231ED5F"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106C34E6" w14:textId="1A049055" w:rsidR="00D4129E" w:rsidRDefault="00D4129E" w:rsidP="00CF14B3">
            <w:pPr>
              <w:pStyle w:val="TableBlockOutdent"/>
              <w:rPr>
                <w:rtl/>
              </w:rPr>
            </w:pPr>
            <w:r>
              <w:rPr>
                <w:rFonts w:hint="cs"/>
                <w:rtl/>
              </w:rPr>
              <w:t>"מחזיק" – בעלים של מספר הטלפון שאינו רשום במאגר מידע כאמור בסעיפים 6 ו</w:t>
            </w:r>
            <w:r w:rsidR="00CF14B3">
              <w:rPr>
                <w:rFonts w:hint="cs"/>
                <w:rtl/>
              </w:rPr>
              <w:t>-</w:t>
            </w:r>
            <w:r>
              <w:rPr>
                <w:rFonts w:hint="cs"/>
                <w:rtl/>
              </w:rPr>
              <w:t>7 לחוק נתוני תקשורת;</w:t>
            </w:r>
          </w:p>
        </w:tc>
      </w:tr>
      <w:tr w:rsidR="00D4129E" w14:paraId="7B053A66" w14:textId="77777777" w:rsidTr="0011075B">
        <w:trPr>
          <w:cantSplit/>
        </w:trPr>
        <w:tc>
          <w:tcPr>
            <w:tcW w:w="1872" w:type="dxa"/>
            <w:tcMar>
              <w:top w:w="91" w:type="dxa"/>
              <w:left w:w="0" w:type="dxa"/>
              <w:bottom w:w="91" w:type="dxa"/>
              <w:right w:w="0" w:type="dxa"/>
            </w:tcMar>
          </w:tcPr>
          <w:p w14:paraId="103BC873" w14:textId="77777777" w:rsidR="00D4129E" w:rsidRDefault="00D4129E" w:rsidP="0011075B">
            <w:pPr>
              <w:pStyle w:val="TableSideHeading"/>
              <w:rPr>
                <w:sz w:val="26"/>
                <w:rtl/>
              </w:rPr>
            </w:pPr>
          </w:p>
        </w:tc>
        <w:tc>
          <w:tcPr>
            <w:tcW w:w="624" w:type="dxa"/>
            <w:tcMar>
              <w:top w:w="91" w:type="dxa"/>
              <w:left w:w="0" w:type="dxa"/>
              <w:bottom w:w="91" w:type="dxa"/>
              <w:right w:w="0" w:type="dxa"/>
            </w:tcMar>
          </w:tcPr>
          <w:p w14:paraId="6085A75C"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02726E7C" w14:textId="77777777" w:rsidR="00D4129E" w:rsidRDefault="00D4129E" w:rsidP="0011075B">
            <w:pPr>
              <w:pStyle w:val="TableBlockOutdent"/>
              <w:rPr>
                <w:rtl/>
              </w:rPr>
            </w:pPr>
            <w:r>
              <w:rPr>
                <w:rFonts w:hint="cs"/>
                <w:rtl/>
              </w:rPr>
              <w:t xml:space="preserve">"מנוי" – מי שנתוני הזיהוי שלו רשומים במאגר מידע כאמור בסעיפים 6 ו–7 לחוק נתוני תקשורת, כבעלים של מספר הטלפון; </w:t>
            </w:r>
          </w:p>
        </w:tc>
      </w:tr>
      <w:tr w:rsidR="00D4129E" w14:paraId="2166FB3D" w14:textId="77777777" w:rsidTr="0011075B">
        <w:trPr>
          <w:cantSplit/>
        </w:trPr>
        <w:tc>
          <w:tcPr>
            <w:tcW w:w="1872" w:type="dxa"/>
            <w:tcMar>
              <w:top w:w="91" w:type="dxa"/>
              <w:left w:w="0" w:type="dxa"/>
              <w:bottom w:w="91" w:type="dxa"/>
              <w:right w:w="0" w:type="dxa"/>
            </w:tcMar>
          </w:tcPr>
          <w:p w14:paraId="129E5378" w14:textId="77777777" w:rsidR="00D4129E" w:rsidRDefault="00D4129E" w:rsidP="0011075B">
            <w:pPr>
              <w:pStyle w:val="TableSideHeading"/>
              <w:rPr>
                <w:sz w:val="26"/>
                <w:rtl/>
              </w:rPr>
            </w:pPr>
          </w:p>
        </w:tc>
        <w:tc>
          <w:tcPr>
            <w:tcW w:w="624" w:type="dxa"/>
            <w:tcMar>
              <w:top w:w="91" w:type="dxa"/>
              <w:left w:w="0" w:type="dxa"/>
              <w:bottom w:w="91" w:type="dxa"/>
              <w:right w:w="0" w:type="dxa"/>
            </w:tcMar>
          </w:tcPr>
          <w:p w14:paraId="5EF4E91A"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749F615C" w14:textId="77777777" w:rsidR="00D4129E" w:rsidRDefault="00D4129E" w:rsidP="0011075B">
            <w:pPr>
              <w:pStyle w:val="TableBlockOutdent"/>
              <w:rPr>
                <w:rtl/>
              </w:rPr>
            </w:pPr>
            <w:r>
              <w:rPr>
                <w:rFonts w:hint="cs"/>
                <w:rtl/>
              </w:rPr>
              <w:t>"מספר טלפון" – כהגדרתו בסעיף 5א לחוק התקשורת;</w:t>
            </w:r>
          </w:p>
        </w:tc>
      </w:tr>
      <w:tr w:rsidR="00D4129E" w14:paraId="10E78771" w14:textId="77777777" w:rsidTr="0011075B">
        <w:trPr>
          <w:cantSplit/>
        </w:trPr>
        <w:tc>
          <w:tcPr>
            <w:tcW w:w="1872" w:type="dxa"/>
            <w:tcMar>
              <w:top w:w="91" w:type="dxa"/>
              <w:left w:w="0" w:type="dxa"/>
              <w:bottom w:w="91" w:type="dxa"/>
              <w:right w:w="0" w:type="dxa"/>
            </w:tcMar>
          </w:tcPr>
          <w:p w14:paraId="06C10D88" w14:textId="77777777" w:rsidR="00D4129E" w:rsidRDefault="00D4129E" w:rsidP="0011075B">
            <w:pPr>
              <w:pStyle w:val="TableSideHeading"/>
              <w:rPr>
                <w:sz w:val="26"/>
                <w:rtl/>
              </w:rPr>
            </w:pPr>
          </w:p>
        </w:tc>
        <w:tc>
          <w:tcPr>
            <w:tcW w:w="624" w:type="dxa"/>
            <w:tcMar>
              <w:top w:w="91" w:type="dxa"/>
              <w:left w:w="0" w:type="dxa"/>
              <w:bottom w:w="91" w:type="dxa"/>
              <w:right w:w="0" w:type="dxa"/>
            </w:tcMar>
          </w:tcPr>
          <w:p w14:paraId="3730E0FD"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693427CB" w14:textId="77777777" w:rsidR="00D4129E" w:rsidRDefault="00D4129E" w:rsidP="0011075B">
            <w:pPr>
              <w:pStyle w:val="TableBlockOutdent"/>
              <w:rPr>
                <w:rtl/>
              </w:rPr>
            </w:pPr>
            <w:r>
              <w:rPr>
                <w:rFonts w:hint="cs"/>
                <w:rtl/>
              </w:rPr>
              <w:t>"קצין ממונה" – קצין משטרה בדרגת רב פקד ומעלה, שראש אגף מבצעים במשטרת ישראל הסמיכו לעניין זה, ובהעדרו – ממלא מקומו;</w:t>
            </w:r>
          </w:p>
        </w:tc>
      </w:tr>
      <w:tr w:rsidR="00D4129E" w14:paraId="5EF42AB3" w14:textId="77777777" w:rsidTr="0011075B">
        <w:trPr>
          <w:cantSplit/>
        </w:trPr>
        <w:tc>
          <w:tcPr>
            <w:tcW w:w="1872" w:type="dxa"/>
            <w:tcMar>
              <w:top w:w="91" w:type="dxa"/>
              <w:left w:w="0" w:type="dxa"/>
              <w:bottom w:w="91" w:type="dxa"/>
              <w:right w:w="0" w:type="dxa"/>
            </w:tcMar>
          </w:tcPr>
          <w:p w14:paraId="1D43B4B9" w14:textId="77777777" w:rsidR="00D4129E" w:rsidRDefault="00D4129E" w:rsidP="0011075B">
            <w:pPr>
              <w:pStyle w:val="TableSideHeading"/>
              <w:rPr>
                <w:sz w:val="26"/>
                <w:rtl/>
              </w:rPr>
            </w:pPr>
          </w:p>
        </w:tc>
        <w:tc>
          <w:tcPr>
            <w:tcW w:w="624" w:type="dxa"/>
            <w:tcMar>
              <w:top w:w="91" w:type="dxa"/>
              <w:left w:w="0" w:type="dxa"/>
              <w:bottom w:w="91" w:type="dxa"/>
              <w:right w:w="0" w:type="dxa"/>
            </w:tcMar>
          </w:tcPr>
          <w:p w14:paraId="4978D94D" w14:textId="77777777" w:rsidR="00D4129E" w:rsidRDefault="00D4129E" w:rsidP="0011075B">
            <w:pPr>
              <w:pStyle w:val="TableText"/>
              <w:rPr>
                <w:sz w:val="26"/>
                <w:rtl/>
              </w:rPr>
            </w:pPr>
          </w:p>
        </w:tc>
        <w:tc>
          <w:tcPr>
            <w:tcW w:w="7149" w:type="dxa"/>
            <w:tcMar>
              <w:top w:w="91" w:type="dxa"/>
              <w:left w:w="0" w:type="dxa"/>
              <w:bottom w:w="91" w:type="dxa"/>
              <w:right w:w="0" w:type="dxa"/>
            </w:tcMar>
            <w:hideMark/>
          </w:tcPr>
          <w:p w14:paraId="3C352C60" w14:textId="7BD594B4" w:rsidR="00D4129E" w:rsidRDefault="00D4129E" w:rsidP="00903BC7">
            <w:pPr>
              <w:pStyle w:val="TableBlockOutdent"/>
              <w:rPr>
                <w:rtl/>
              </w:rPr>
            </w:pPr>
            <w:r>
              <w:rPr>
                <w:rFonts w:hint="cs"/>
                <w:rtl/>
              </w:rPr>
              <w:t>"פרסום אסור" – עבירה לפי סעיף 205א</w:t>
            </w:r>
            <w:r w:rsidR="00903BC7">
              <w:rPr>
                <w:rFonts w:hint="cs"/>
                <w:rtl/>
              </w:rPr>
              <w:t xml:space="preserve"> או </w:t>
            </w:r>
            <w:r>
              <w:rPr>
                <w:rFonts w:hint="cs"/>
                <w:rtl/>
              </w:rPr>
              <w:t xml:space="preserve">205ג לחוק העונשין, </w:t>
            </w:r>
            <w:proofErr w:type="spellStart"/>
            <w:r>
              <w:rPr>
                <w:rFonts w:hint="cs"/>
                <w:rtl/>
              </w:rPr>
              <w:t>התשל"ז</w:t>
            </w:r>
            <w:proofErr w:type="spellEnd"/>
            <w:r>
              <w:rPr>
                <w:rFonts w:hint="cs"/>
                <w:rtl/>
              </w:rPr>
              <w:t>–1977</w:t>
            </w:r>
            <w:r>
              <w:rPr>
                <w:rStyle w:val="a6"/>
                <w:rtl/>
              </w:rPr>
              <w:footnoteReference w:id="4"/>
            </w:r>
            <w:r>
              <w:rPr>
                <w:rFonts w:hint="cs"/>
                <w:rtl/>
              </w:rPr>
              <w:t>.</w:t>
            </w:r>
          </w:p>
        </w:tc>
      </w:tr>
      <w:tr w:rsidR="00D4129E" w14:paraId="2B6AEB19" w14:textId="77777777" w:rsidTr="0011075B">
        <w:trPr>
          <w:cantSplit/>
        </w:trPr>
        <w:tc>
          <w:tcPr>
            <w:tcW w:w="1872" w:type="dxa"/>
            <w:hideMark/>
          </w:tcPr>
          <w:p w14:paraId="58170E56" w14:textId="414AD2BC" w:rsidR="00D4129E" w:rsidRDefault="00903BC7" w:rsidP="00903BC7">
            <w:pPr>
              <w:pStyle w:val="TableSideHeading"/>
              <w:keepLines w:val="0"/>
              <w:rPr>
                <w:sz w:val="26"/>
                <w:rtl/>
              </w:rPr>
            </w:pPr>
            <w:r>
              <w:rPr>
                <w:rFonts w:hint="cs"/>
                <w:sz w:val="26"/>
                <w:rtl/>
              </w:rPr>
              <w:t>מתן צו</w:t>
            </w:r>
            <w:r w:rsidR="00D4129E">
              <w:rPr>
                <w:rFonts w:hint="cs"/>
                <w:sz w:val="26"/>
                <w:rtl/>
              </w:rPr>
              <w:t xml:space="preserve"> </w:t>
            </w:r>
            <w:r>
              <w:rPr>
                <w:rFonts w:hint="cs"/>
                <w:sz w:val="26"/>
                <w:rtl/>
              </w:rPr>
              <w:t>לחסימת</w:t>
            </w:r>
            <w:r w:rsidR="00D4129E">
              <w:rPr>
                <w:rFonts w:hint="cs"/>
                <w:sz w:val="26"/>
                <w:rtl/>
              </w:rPr>
              <w:t xml:space="preserve"> מספר הטלפון</w:t>
            </w:r>
          </w:p>
        </w:tc>
        <w:tc>
          <w:tcPr>
            <w:tcW w:w="624" w:type="dxa"/>
            <w:hideMark/>
          </w:tcPr>
          <w:p w14:paraId="078DD602" w14:textId="77777777" w:rsidR="00D4129E" w:rsidRDefault="00D4129E" w:rsidP="0011075B">
            <w:pPr>
              <w:pStyle w:val="TableText"/>
              <w:rPr>
                <w:sz w:val="26"/>
                <w:rtl/>
              </w:rPr>
            </w:pPr>
            <w:r>
              <w:rPr>
                <w:rFonts w:hint="cs"/>
                <w:sz w:val="26"/>
                <w:rtl/>
              </w:rPr>
              <w:t>2.</w:t>
            </w:r>
          </w:p>
        </w:tc>
        <w:tc>
          <w:tcPr>
            <w:tcW w:w="7149" w:type="dxa"/>
            <w:hideMark/>
          </w:tcPr>
          <w:p w14:paraId="6757B941" w14:textId="1C623996" w:rsidR="00D4129E" w:rsidRDefault="00D4129E" w:rsidP="00903BC7">
            <w:pPr>
              <w:pStyle w:val="TableBlock"/>
              <w:rPr>
                <w:sz w:val="26"/>
                <w:rtl/>
              </w:rPr>
            </w:pPr>
            <w:r>
              <w:rPr>
                <w:rFonts w:hint="cs"/>
                <w:sz w:val="26"/>
                <w:rtl/>
              </w:rPr>
              <w:t>(א)</w:t>
            </w:r>
            <w:r>
              <w:rPr>
                <w:rFonts w:hint="cs"/>
                <w:sz w:val="26"/>
                <w:rtl/>
              </w:rPr>
              <w:tab/>
              <w:t xml:space="preserve">מצא הקצין הממונה שמספר טלפון מופיע בפרסום אסור והיה לו יסוד להניח שהמספר ימשיך להתפרסם בפרסום האסור, רשאי הוא לתת צו למפעיל סלולרי לחסום את מספר הטלפון לתקופה של </w:t>
            </w:r>
            <w:r w:rsidR="00903BC7">
              <w:rPr>
                <w:rFonts w:hint="cs"/>
                <w:sz w:val="26"/>
                <w:rtl/>
              </w:rPr>
              <w:t>ארבעה</w:t>
            </w:r>
            <w:r>
              <w:rPr>
                <w:rFonts w:hint="cs"/>
                <w:sz w:val="26"/>
                <w:rtl/>
              </w:rPr>
              <w:t xml:space="preserve"> ימים.</w:t>
            </w:r>
          </w:p>
        </w:tc>
      </w:tr>
      <w:tr w:rsidR="00D4129E" w14:paraId="4A3FFB52" w14:textId="77777777" w:rsidTr="0011075B">
        <w:trPr>
          <w:cantSplit/>
        </w:trPr>
        <w:tc>
          <w:tcPr>
            <w:tcW w:w="1872" w:type="dxa"/>
          </w:tcPr>
          <w:p w14:paraId="3FC9FAEB" w14:textId="77777777" w:rsidR="00D4129E" w:rsidRDefault="00D4129E" w:rsidP="0011075B">
            <w:pPr>
              <w:pStyle w:val="TableSideHeading"/>
              <w:keepLines w:val="0"/>
              <w:rPr>
                <w:sz w:val="26"/>
                <w:rtl/>
              </w:rPr>
            </w:pPr>
          </w:p>
        </w:tc>
        <w:tc>
          <w:tcPr>
            <w:tcW w:w="624" w:type="dxa"/>
          </w:tcPr>
          <w:p w14:paraId="42ABE53C" w14:textId="77777777" w:rsidR="00D4129E" w:rsidRDefault="00D4129E" w:rsidP="0011075B">
            <w:pPr>
              <w:pStyle w:val="TableText"/>
              <w:rPr>
                <w:rtl/>
              </w:rPr>
            </w:pPr>
          </w:p>
        </w:tc>
        <w:tc>
          <w:tcPr>
            <w:tcW w:w="7149" w:type="dxa"/>
            <w:hideMark/>
          </w:tcPr>
          <w:p w14:paraId="5785FCCC" w14:textId="660222C4" w:rsidR="00D4129E" w:rsidRDefault="00D4129E" w:rsidP="00874A8D">
            <w:pPr>
              <w:pStyle w:val="TableBlock"/>
              <w:rPr>
                <w:sz w:val="26"/>
                <w:rtl/>
              </w:rPr>
            </w:pPr>
            <w:r>
              <w:rPr>
                <w:rFonts w:hint="cs"/>
                <w:sz w:val="26"/>
                <w:rtl/>
              </w:rPr>
              <w:t>(ב)</w:t>
            </w:r>
            <w:r>
              <w:rPr>
                <w:rFonts w:hint="cs"/>
                <w:sz w:val="26"/>
                <w:rtl/>
              </w:rPr>
              <w:tab/>
              <w:t xml:space="preserve">הקצין הממונה </w:t>
            </w:r>
            <w:r w:rsidR="00874A8D">
              <w:rPr>
                <w:rFonts w:hint="cs"/>
                <w:sz w:val="26"/>
                <w:rtl/>
              </w:rPr>
              <w:t>לא ייתן צו</w:t>
            </w:r>
            <w:r>
              <w:rPr>
                <w:rFonts w:hint="cs"/>
                <w:sz w:val="26"/>
                <w:rtl/>
              </w:rPr>
              <w:t xml:space="preserve"> כאמור אלא לאחר שנשלחה למספר הטלפון בשיחת טלפון או במסרון, התראה על הכוונה לחסום את מספר הטלפון, וניתנה למנוי או למחזיק זכות שימוע; בהתראה כאמור </w:t>
            </w:r>
            <w:proofErr w:type="spellStart"/>
            <w:r>
              <w:rPr>
                <w:rFonts w:hint="cs"/>
                <w:sz w:val="26"/>
                <w:rtl/>
              </w:rPr>
              <w:t>תצוי</w:t>
            </w:r>
            <w:r w:rsidR="00903BC7">
              <w:rPr>
                <w:rFonts w:hint="cs"/>
                <w:sz w:val="26"/>
                <w:rtl/>
              </w:rPr>
              <w:t>י</w:t>
            </w:r>
            <w:r>
              <w:rPr>
                <w:rFonts w:hint="cs"/>
                <w:sz w:val="26"/>
                <w:rtl/>
              </w:rPr>
              <w:t>ן</w:t>
            </w:r>
            <w:proofErr w:type="spellEnd"/>
            <w:r>
              <w:rPr>
                <w:rFonts w:hint="cs"/>
                <w:sz w:val="26"/>
                <w:rtl/>
              </w:rPr>
              <w:t xml:space="preserve"> עילת החסימה, וכן המקום והמועד לשימוע ודרכי התקשרות לשם השימוע.</w:t>
            </w:r>
          </w:p>
        </w:tc>
      </w:tr>
      <w:tr w:rsidR="00D4129E" w14:paraId="65765CC3" w14:textId="77777777" w:rsidTr="0011075B">
        <w:trPr>
          <w:cantSplit/>
        </w:trPr>
        <w:tc>
          <w:tcPr>
            <w:tcW w:w="1872" w:type="dxa"/>
          </w:tcPr>
          <w:p w14:paraId="13995122" w14:textId="77777777" w:rsidR="00D4129E" w:rsidRDefault="00D4129E" w:rsidP="0011075B">
            <w:pPr>
              <w:pStyle w:val="TableSideHeading"/>
              <w:keepLines w:val="0"/>
              <w:rPr>
                <w:sz w:val="26"/>
                <w:rtl/>
              </w:rPr>
            </w:pPr>
          </w:p>
        </w:tc>
        <w:tc>
          <w:tcPr>
            <w:tcW w:w="624" w:type="dxa"/>
          </w:tcPr>
          <w:p w14:paraId="7BCA3EBE" w14:textId="77777777" w:rsidR="00D4129E" w:rsidRDefault="00D4129E" w:rsidP="0011075B">
            <w:pPr>
              <w:pStyle w:val="TableText"/>
              <w:rPr>
                <w:rtl/>
              </w:rPr>
            </w:pPr>
          </w:p>
        </w:tc>
        <w:tc>
          <w:tcPr>
            <w:tcW w:w="7149" w:type="dxa"/>
            <w:hideMark/>
          </w:tcPr>
          <w:p w14:paraId="18D60479" w14:textId="77777777" w:rsidR="00D4129E" w:rsidRDefault="00D4129E" w:rsidP="0011075B">
            <w:pPr>
              <w:pStyle w:val="TableBlock"/>
              <w:rPr>
                <w:sz w:val="26"/>
                <w:rtl/>
              </w:rPr>
            </w:pPr>
            <w:r>
              <w:rPr>
                <w:rFonts w:hint="cs"/>
                <w:sz w:val="26"/>
                <w:rtl/>
              </w:rPr>
              <w:t>(ג)</w:t>
            </w:r>
            <w:r>
              <w:rPr>
                <w:rFonts w:hint="cs"/>
                <w:sz w:val="26"/>
                <w:rtl/>
              </w:rPr>
              <w:tab/>
              <w:t>לא טען מנוי או מחזיק, לפי העניין, את טענותיו במועד שנקבע, רשאי הקצין הממונה להחליט בדבר החסימה אף בלי לשמוע את טענותיו.</w:t>
            </w:r>
          </w:p>
        </w:tc>
      </w:tr>
      <w:tr w:rsidR="00D4129E" w14:paraId="08EAF8AC" w14:textId="77777777" w:rsidTr="0011075B">
        <w:trPr>
          <w:cantSplit/>
        </w:trPr>
        <w:tc>
          <w:tcPr>
            <w:tcW w:w="1872" w:type="dxa"/>
          </w:tcPr>
          <w:p w14:paraId="08D197A2" w14:textId="77777777" w:rsidR="00D4129E" w:rsidRDefault="00D4129E" w:rsidP="0011075B">
            <w:pPr>
              <w:pStyle w:val="TableSideHeading"/>
              <w:keepLines w:val="0"/>
              <w:rPr>
                <w:sz w:val="26"/>
                <w:rtl/>
              </w:rPr>
            </w:pPr>
          </w:p>
        </w:tc>
        <w:tc>
          <w:tcPr>
            <w:tcW w:w="624" w:type="dxa"/>
          </w:tcPr>
          <w:p w14:paraId="6BB2DFD1" w14:textId="77777777" w:rsidR="00D4129E" w:rsidRDefault="00D4129E" w:rsidP="0011075B">
            <w:pPr>
              <w:pStyle w:val="TableText"/>
              <w:rPr>
                <w:rtl/>
              </w:rPr>
            </w:pPr>
          </w:p>
        </w:tc>
        <w:tc>
          <w:tcPr>
            <w:tcW w:w="7149" w:type="dxa"/>
            <w:hideMark/>
          </w:tcPr>
          <w:p w14:paraId="48413715" w14:textId="6AA75339" w:rsidR="00D4129E" w:rsidRDefault="00D4129E" w:rsidP="00903BC7">
            <w:pPr>
              <w:pStyle w:val="TableBlock"/>
              <w:rPr>
                <w:sz w:val="26"/>
                <w:rtl/>
              </w:rPr>
            </w:pPr>
            <w:r>
              <w:rPr>
                <w:rFonts w:hint="cs"/>
                <w:sz w:val="26"/>
                <w:rtl/>
              </w:rPr>
              <w:t>(ד)</w:t>
            </w:r>
            <w:r>
              <w:rPr>
                <w:rFonts w:hint="cs"/>
                <w:sz w:val="26"/>
                <w:rtl/>
              </w:rPr>
              <w:tab/>
              <w:t>מנוי או מחזיק רשאי</w:t>
            </w:r>
            <w:r w:rsidR="00903BC7">
              <w:rPr>
                <w:rFonts w:hint="cs"/>
                <w:sz w:val="26"/>
                <w:rtl/>
              </w:rPr>
              <w:t xml:space="preserve"> לטעון את טענותיו גם לאחר ש</w:t>
            </w:r>
            <w:r>
              <w:rPr>
                <w:rFonts w:hint="cs"/>
                <w:sz w:val="26"/>
                <w:rtl/>
              </w:rPr>
              <w:t xml:space="preserve">הקצין הממונה </w:t>
            </w:r>
            <w:r w:rsidR="00903BC7">
              <w:rPr>
                <w:rFonts w:hint="cs"/>
                <w:sz w:val="26"/>
                <w:rtl/>
              </w:rPr>
              <w:t xml:space="preserve">נתן צו </w:t>
            </w:r>
            <w:r>
              <w:rPr>
                <w:rFonts w:hint="cs"/>
                <w:sz w:val="26"/>
                <w:rtl/>
              </w:rPr>
              <w:t>כאמור.</w:t>
            </w:r>
          </w:p>
        </w:tc>
      </w:tr>
      <w:tr w:rsidR="00D4129E" w14:paraId="1ACFB059" w14:textId="77777777" w:rsidTr="0011075B">
        <w:trPr>
          <w:cantSplit/>
        </w:trPr>
        <w:tc>
          <w:tcPr>
            <w:tcW w:w="1872" w:type="dxa"/>
            <w:hideMark/>
          </w:tcPr>
          <w:p w14:paraId="3952A25F" w14:textId="77777777" w:rsidR="00D4129E" w:rsidRDefault="00D4129E" w:rsidP="0011075B">
            <w:pPr>
              <w:pStyle w:val="TableSideHeading"/>
              <w:keepLines w:val="0"/>
              <w:rPr>
                <w:sz w:val="26"/>
                <w:rtl/>
              </w:rPr>
            </w:pPr>
            <w:r>
              <w:rPr>
                <w:rFonts w:hint="cs"/>
                <w:sz w:val="26"/>
                <w:rtl/>
              </w:rPr>
              <w:t>הארכת תוקפו של הצו</w:t>
            </w:r>
          </w:p>
        </w:tc>
        <w:tc>
          <w:tcPr>
            <w:tcW w:w="624" w:type="dxa"/>
            <w:hideMark/>
          </w:tcPr>
          <w:p w14:paraId="322BDFB8" w14:textId="77777777" w:rsidR="00D4129E" w:rsidRDefault="00D4129E" w:rsidP="0011075B">
            <w:pPr>
              <w:pStyle w:val="TableText"/>
              <w:rPr>
                <w:sz w:val="26"/>
                <w:rtl/>
              </w:rPr>
            </w:pPr>
            <w:r>
              <w:rPr>
                <w:rFonts w:hint="cs"/>
                <w:sz w:val="26"/>
                <w:rtl/>
              </w:rPr>
              <w:t>3.</w:t>
            </w:r>
          </w:p>
        </w:tc>
        <w:tc>
          <w:tcPr>
            <w:tcW w:w="7149" w:type="dxa"/>
          </w:tcPr>
          <w:p w14:paraId="58325B14" w14:textId="77777777" w:rsidR="00D4129E" w:rsidRDefault="00D4129E" w:rsidP="0011075B">
            <w:pPr>
              <w:pStyle w:val="TableBlock"/>
            </w:pPr>
            <w:r>
              <w:rPr>
                <w:rFonts w:hint="cs"/>
                <w:rtl/>
              </w:rPr>
              <w:t>(א)</w:t>
            </w:r>
            <w:r>
              <w:rPr>
                <w:rtl/>
              </w:rPr>
              <w:tab/>
            </w:r>
            <w:r>
              <w:rPr>
                <w:rFonts w:hint="cs"/>
                <w:rtl/>
              </w:rPr>
              <w:t xml:space="preserve">לבקשת התובע רשאי בית המשפט המחוזי להאריך את תוקף הצו לתקופה נוספת של 14 יום, אם שוכנע שיש בהארכת הצו כדי למנוע את ביצוע העבירה, </w:t>
            </w:r>
            <w:r>
              <w:rPr>
                <w:rtl/>
              </w:rPr>
              <w:t>ורשאי המנוי או מחזיק הזכות במספר הטלפון לנמק מדוע יבטל בית המשפט את הצו.</w:t>
            </w:r>
          </w:p>
          <w:p w14:paraId="1EDCE1D0" w14:textId="77777777" w:rsidR="00D4129E" w:rsidRDefault="00D4129E" w:rsidP="0011075B">
            <w:pPr>
              <w:pStyle w:val="TableBlock"/>
              <w:rPr>
                <w:sz w:val="2"/>
                <w:szCs w:val="2"/>
                <w:rtl/>
              </w:rPr>
            </w:pPr>
          </w:p>
        </w:tc>
      </w:tr>
      <w:tr w:rsidR="00D4129E" w14:paraId="061EB5DE" w14:textId="77777777" w:rsidTr="0011075B">
        <w:trPr>
          <w:cantSplit/>
        </w:trPr>
        <w:tc>
          <w:tcPr>
            <w:tcW w:w="1872" w:type="dxa"/>
          </w:tcPr>
          <w:p w14:paraId="2CACFA42" w14:textId="77777777" w:rsidR="00D4129E" w:rsidRDefault="00D4129E" w:rsidP="0011075B">
            <w:pPr>
              <w:pStyle w:val="TableSideHeading"/>
              <w:keepLines w:val="0"/>
              <w:rPr>
                <w:sz w:val="26"/>
                <w:highlight w:val="yellow"/>
                <w:rtl/>
              </w:rPr>
            </w:pPr>
          </w:p>
        </w:tc>
        <w:tc>
          <w:tcPr>
            <w:tcW w:w="624" w:type="dxa"/>
          </w:tcPr>
          <w:p w14:paraId="03098B19" w14:textId="77777777" w:rsidR="00D4129E" w:rsidRDefault="00D4129E" w:rsidP="0011075B">
            <w:pPr>
              <w:pStyle w:val="TableText"/>
              <w:rPr>
                <w:sz w:val="26"/>
                <w:rtl/>
              </w:rPr>
            </w:pPr>
          </w:p>
        </w:tc>
        <w:tc>
          <w:tcPr>
            <w:tcW w:w="7149" w:type="dxa"/>
          </w:tcPr>
          <w:p w14:paraId="2029FEBF" w14:textId="77777777" w:rsidR="00D4129E" w:rsidRDefault="00D4129E" w:rsidP="0011075B">
            <w:pPr>
              <w:pStyle w:val="TableBlock"/>
              <w:rPr>
                <w:rtl/>
              </w:rPr>
            </w:pPr>
            <w:r>
              <w:rPr>
                <w:rtl/>
              </w:rPr>
              <w:t>(ב)</w:t>
            </w:r>
            <w:r>
              <w:rPr>
                <w:rtl/>
              </w:rPr>
              <w:tab/>
              <w:t xml:space="preserve">לא הגיע המנוי או המחזיק לדיון, רשאי בית המשפט להחליט בעניין הצו בלא נוכחותו.  </w:t>
            </w:r>
          </w:p>
        </w:tc>
      </w:tr>
      <w:tr w:rsidR="00D4129E" w14:paraId="2A99C82D" w14:textId="77777777" w:rsidTr="0011075B">
        <w:trPr>
          <w:cantSplit/>
        </w:trPr>
        <w:tc>
          <w:tcPr>
            <w:tcW w:w="1872" w:type="dxa"/>
            <w:hideMark/>
          </w:tcPr>
          <w:p w14:paraId="6333ACE9" w14:textId="77777777" w:rsidR="00D4129E" w:rsidRDefault="00D4129E" w:rsidP="0011075B">
            <w:pPr>
              <w:pStyle w:val="TableSideHeading"/>
              <w:keepLines w:val="0"/>
              <w:rPr>
                <w:sz w:val="26"/>
                <w:rtl/>
              </w:rPr>
            </w:pPr>
            <w:r>
              <w:rPr>
                <w:rFonts w:hint="cs"/>
                <w:sz w:val="26"/>
                <w:rtl/>
              </w:rPr>
              <w:t>ביטול הוראות שניתנו לפי החוק</w:t>
            </w:r>
          </w:p>
        </w:tc>
        <w:tc>
          <w:tcPr>
            <w:tcW w:w="624" w:type="dxa"/>
            <w:hideMark/>
          </w:tcPr>
          <w:p w14:paraId="507D4760" w14:textId="77777777" w:rsidR="00D4129E" w:rsidRDefault="00D4129E" w:rsidP="0011075B">
            <w:pPr>
              <w:pStyle w:val="TableText"/>
              <w:keepLines w:val="0"/>
              <w:rPr>
                <w:sz w:val="26"/>
                <w:rtl/>
              </w:rPr>
            </w:pPr>
            <w:r>
              <w:rPr>
                <w:rFonts w:hint="cs"/>
                <w:sz w:val="26"/>
                <w:rtl/>
              </w:rPr>
              <w:t xml:space="preserve">4. </w:t>
            </w:r>
          </w:p>
        </w:tc>
        <w:tc>
          <w:tcPr>
            <w:tcW w:w="7149" w:type="dxa"/>
            <w:hideMark/>
          </w:tcPr>
          <w:p w14:paraId="71281AD1" w14:textId="1FBC1051" w:rsidR="00D4129E" w:rsidRDefault="00D4129E" w:rsidP="00903BC7">
            <w:pPr>
              <w:pStyle w:val="TableBlock"/>
              <w:rPr>
                <w:sz w:val="26"/>
                <w:rtl/>
              </w:rPr>
            </w:pPr>
            <w:r>
              <w:rPr>
                <w:rFonts w:hint="cs"/>
                <w:sz w:val="26"/>
                <w:rtl/>
              </w:rPr>
              <w:t xml:space="preserve">מי </w:t>
            </w:r>
            <w:r w:rsidR="00903BC7">
              <w:rPr>
                <w:rFonts w:hint="cs"/>
                <w:sz w:val="26"/>
                <w:rtl/>
              </w:rPr>
              <w:t>שנתן צו כאמור בסעיף 2</w:t>
            </w:r>
            <w:r>
              <w:rPr>
                <w:rFonts w:hint="cs"/>
                <w:sz w:val="26"/>
                <w:rtl/>
              </w:rPr>
              <w:t>, רשאי להורות להסיר את החסימה לפני תום התקופה הקבועה בצו מטעמים שיירשמו.</w:t>
            </w:r>
          </w:p>
        </w:tc>
      </w:tr>
      <w:tr w:rsidR="00D4129E" w14:paraId="5BA072C4" w14:textId="77777777" w:rsidTr="0011075B">
        <w:trPr>
          <w:cantSplit/>
        </w:trPr>
        <w:tc>
          <w:tcPr>
            <w:tcW w:w="1872" w:type="dxa"/>
            <w:hideMark/>
          </w:tcPr>
          <w:p w14:paraId="68A130C0" w14:textId="77777777" w:rsidR="00D4129E" w:rsidRDefault="00D4129E" w:rsidP="0011075B">
            <w:pPr>
              <w:pStyle w:val="TableSideHeading"/>
              <w:keepLines w:val="0"/>
              <w:rPr>
                <w:sz w:val="26"/>
                <w:rtl/>
              </w:rPr>
            </w:pPr>
            <w:r>
              <w:rPr>
                <w:rFonts w:hint="cs"/>
                <w:sz w:val="26"/>
                <w:rtl/>
              </w:rPr>
              <w:t xml:space="preserve">מימוש הוראות שניתנו לפי החוק </w:t>
            </w:r>
          </w:p>
        </w:tc>
        <w:tc>
          <w:tcPr>
            <w:tcW w:w="624" w:type="dxa"/>
            <w:hideMark/>
          </w:tcPr>
          <w:p w14:paraId="0AD81DC1" w14:textId="77777777" w:rsidR="00D4129E" w:rsidRDefault="00D4129E" w:rsidP="0011075B">
            <w:pPr>
              <w:pStyle w:val="TableText"/>
              <w:keepLines w:val="0"/>
              <w:rPr>
                <w:sz w:val="26"/>
                <w:rtl/>
              </w:rPr>
            </w:pPr>
            <w:r>
              <w:rPr>
                <w:rFonts w:hint="cs"/>
                <w:sz w:val="26"/>
                <w:rtl/>
              </w:rPr>
              <w:t>5.</w:t>
            </w:r>
          </w:p>
        </w:tc>
        <w:tc>
          <w:tcPr>
            <w:tcW w:w="7149" w:type="dxa"/>
            <w:hideMark/>
          </w:tcPr>
          <w:p w14:paraId="1FFA2D16" w14:textId="72870858" w:rsidR="00D4129E" w:rsidRDefault="00903BC7" w:rsidP="0011075B">
            <w:pPr>
              <w:pStyle w:val="TableBlock"/>
              <w:rPr>
                <w:rtl/>
              </w:rPr>
            </w:pPr>
            <w:r>
              <w:rPr>
                <w:rFonts w:hint="cs"/>
                <w:rtl/>
              </w:rPr>
              <w:t>(א)</w:t>
            </w:r>
            <w:r>
              <w:rPr>
                <w:rtl/>
              </w:rPr>
              <w:tab/>
            </w:r>
            <w:r w:rsidR="00D4129E">
              <w:rPr>
                <w:rFonts w:hint="cs"/>
                <w:rtl/>
              </w:rPr>
              <w:t xml:space="preserve">מפעיל סלולרי שקיבל הוראה לפי חוק זה יפעל למימושה באופן </w:t>
            </w:r>
            <w:proofErr w:type="spellStart"/>
            <w:r w:rsidR="00D4129E">
              <w:rPr>
                <w:rFonts w:hint="cs"/>
                <w:rtl/>
              </w:rPr>
              <w:t>מיידי</w:t>
            </w:r>
            <w:proofErr w:type="spellEnd"/>
            <w:r w:rsidR="00D4129E">
              <w:rPr>
                <w:rFonts w:hint="cs"/>
                <w:rtl/>
              </w:rPr>
              <w:t xml:space="preserve"> ולא יאוחר מ–24 שעות ממועד קבלת ההוראה.</w:t>
            </w:r>
          </w:p>
        </w:tc>
      </w:tr>
      <w:tr w:rsidR="00D4129E" w14:paraId="135C1B30" w14:textId="77777777" w:rsidTr="0011075B">
        <w:trPr>
          <w:cantSplit/>
        </w:trPr>
        <w:tc>
          <w:tcPr>
            <w:tcW w:w="1872" w:type="dxa"/>
          </w:tcPr>
          <w:p w14:paraId="355FB7E0" w14:textId="77777777" w:rsidR="00D4129E" w:rsidRDefault="00D4129E" w:rsidP="0011075B">
            <w:pPr>
              <w:pStyle w:val="TableSideHeading"/>
              <w:keepLines w:val="0"/>
              <w:rPr>
                <w:sz w:val="26"/>
              </w:rPr>
            </w:pPr>
          </w:p>
        </w:tc>
        <w:tc>
          <w:tcPr>
            <w:tcW w:w="624" w:type="dxa"/>
          </w:tcPr>
          <w:p w14:paraId="341DCAB7" w14:textId="77777777" w:rsidR="00D4129E" w:rsidRDefault="00D4129E" w:rsidP="0011075B">
            <w:pPr>
              <w:pStyle w:val="TableText"/>
              <w:rPr>
                <w:sz w:val="26"/>
                <w:rtl/>
              </w:rPr>
            </w:pPr>
          </w:p>
        </w:tc>
        <w:tc>
          <w:tcPr>
            <w:tcW w:w="7149" w:type="dxa"/>
            <w:hideMark/>
          </w:tcPr>
          <w:p w14:paraId="75F6AD1D" w14:textId="77777777" w:rsidR="00D4129E" w:rsidRDefault="00D4129E" w:rsidP="0011075B">
            <w:pPr>
              <w:pStyle w:val="TableBlock"/>
              <w:rPr>
                <w:sz w:val="26"/>
              </w:rPr>
            </w:pPr>
            <w:r>
              <w:rPr>
                <w:rFonts w:hint="cs"/>
                <w:sz w:val="26"/>
                <w:rtl/>
              </w:rPr>
              <w:t>(ב)</w:t>
            </w:r>
            <w:r>
              <w:rPr>
                <w:rFonts w:hint="cs"/>
                <w:sz w:val="26"/>
                <w:rtl/>
              </w:rPr>
              <w:tab/>
              <w:t>השר לביטחון הפנים, בהתייעצות עם שר התקשורת, יקבע את הדרכים לקבלת המידע כאמור בסעיף קטן (א).</w:t>
            </w:r>
          </w:p>
        </w:tc>
      </w:tr>
      <w:tr w:rsidR="00D4129E" w14:paraId="10375B57" w14:textId="77777777" w:rsidTr="0011075B">
        <w:trPr>
          <w:cantSplit/>
        </w:trPr>
        <w:tc>
          <w:tcPr>
            <w:tcW w:w="1872" w:type="dxa"/>
            <w:hideMark/>
          </w:tcPr>
          <w:p w14:paraId="4F8BB869" w14:textId="77777777" w:rsidR="00D4129E" w:rsidRDefault="00D4129E" w:rsidP="0011075B">
            <w:pPr>
              <w:pStyle w:val="TableSideHeading"/>
              <w:keepLines w:val="0"/>
              <w:rPr>
                <w:sz w:val="26"/>
                <w:rtl/>
              </w:rPr>
            </w:pPr>
            <w:r>
              <w:rPr>
                <w:rFonts w:hint="cs"/>
                <w:sz w:val="26"/>
                <w:rtl/>
              </w:rPr>
              <w:t>אחריות מפעיל סלולרי</w:t>
            </w:r>
          </w:p>
        </w:tc>
        <w:tc>
          <w:tcPr>
            <w:tcW w:w="624" w:type="dxa"/>
            <w:hideMark/>
          </w:tcPr>
          <w:p w14:paraId="3E2E61EC" w14:textId="77777777" w:rsidR="00D4129E" w:rsidRDefault="00D4129E" w:rsidP="0011075B">
            <w:pPr>
              <w:pStyle w:val="TableText"/>
              <w:keepLines w:val="0"/>
              <w:rPr>
                <w:sz w:val="26"/>
                <w:rtl/>
              </w:rPr>
            </w:pPr>
            <w:r>
              <w:rPr>
                <w:rFonts w:hint="cs"/>
                <w:sz w:val="26"/>
                <w:rtl/>
              </w:rPr>
              <w:t>6.</w:t>
            </w:r>
          </w:p>
        </w:tc>
        <w:tc>
          <w:tcPr>
            <w:tcW w:w="7149" w:type="dxa"/>
            <w:hideMark/>
          </w:tcPr>
          <w:p w14:paraId="146F630B" w14:textId="77777777" w:rsidR="00D4129E" w:rsidRDefault="00D4129E" w:rsidP="0011075B">
            <w:pPr>
              <w:pStyle w:val="TableBlock"/>
              <w:rPr>
                <w:sz w:val="26"/>
                <w:rtl/>
              </w:rPr>
            </w:pPr>
            <w:r>
              <w:rPr>
                <w:rFonts w:hint="cs"/>
                <w:sz w:val="26"/>
                <w:rtl/>
              </w:rPr>
              <w:t>במילוי הוראה לפי חוק זה, לא יישא מפעיל סלולרי או מי מעובדיו באחריות פלילית או אזרחית לכל מעשה שעשה במילוי הוראה כאמור, אלא בנסיבות שבהן היה עובד המדינה נושא באחריות למעשה.</w:t>
            </w:r>
          </w:p>
        </w:tc>
      </w:tr>
      <w:tr w:rsidR="00D4129E" w14:paraId="0397ACFE" w14:textId="77777777" w:rsidTr="0011075B">
        <w:trPr>
          <w:cantSplit/>
        </w:trPr>
        <w:tc>
          <w:tcPr>
            <w:tcW w:w="1872" w:type="dxa"/>
            <w:hideMark/>
          </w:tcPr>
          <w:p w14:paraId="36B7D0E1" w14:textId="77777777" w:rsidR="00D4129E" w:rsidRDefault="00D4129E" w:rsidP="0011075B">
            <w:pPr>
              <w:pStyle w:val="TableSideHeading"/>
              <w:keepLines w:val="0"/>
              <w:rPr>
                <w:sz w:val="26"/>
              </w:rPr>
            </w:pPr>
            <w:r>
              <w:rPr>
                <w:rFonts w:hint="cs"/>
                <w:sz w:val="26"/>
                <w:rtl/>
              </w:rPr>
              <w:lastRenderedPageBreak/>
              <w:t>ביצוע ותקנות</w:t>
            </w:r>
          </w:p>
        </w:tc>
        <w:tc>
          <w:tcPr>
            <w:tcW w:w="624" w:type="dxa"/>
            <w:hideMark/>
          </w:tcPr>
          <w:p w14:paraId="44D50B06" w14:textId="77777777" w:rsidR="00D4129E" w:rsidRDefault="00D4129E" w:rsidP="0011075B">
            <w:pPr>
              <w:pStyle w:val="TableText"/>
              <w:keepLines w:val="0"/>
              <w:rPr>
                <w:sz w:val="26"/>
              </w:rPr>
            </w:pPr>
            <w:r>
              <w:rPr>
                <w:rFonts w:hint="cs"/>
                <w:sz w:val="26"/>
                <w:rtl/>
              </w:rPr>
              <w:t>7.</w:t>
            </w:r>
          </w:p>
        </w:tc>
        <w:tc>
          <w:tcPr>
            <w:tcW w:w="7149" w:type="dxa"/>
            <w:hideMark/>
          </w:tcPr>
          <w:p w14:paraId="3C14C35D" w14:textId="77777777" w:rsidR="00D4129E" w:rsidRDefault="00D4129E" w:rsidP="0011075B">
            <w:pPr>
              <w:pStyle w:val="TableBlock"/>
              <w:rPr>
                <w:sz w:val="26"/>
              </w:rPr>
            </w:pPr>
            <w:r>
              <w:rPr>
                <w:rFonts w:hint="cs"/>
                <w:sz w:val="26"/>
                <w:rtl/>
              </w:rPr>
              <w:t>(א)</w:t>
            </w:r>
            <w:r>
              <w:rPr>
                <w:rFonts w:hint="cs"/>
                <w:sz w:val="26"/>
                <w:rtl/>
              </w:rPr>
              <w:tab/>
              <w:t xml:space="preserve">השר לביטחון הפנים ממונה על ביצוע חוק זה והוא רשאי, בהתייעצות עם שר התקשורת ובאישור ועדת החוקה, חוק ומשפט של הכנסת, להתקין תקנות לביצועו. </w:t>
            </w:r>
          </w:p>
        </w:tc>
      </w:tr>
      <w:tr w:rsidR="00D4129E" w14:paraId="3A6F60F3" w14:textId="77777777" w:rsidTr="0011075B">
        <w:trPr>
          <w:cantSplit/>
        </w:trPr>
        <w:tc>
          <w:tcPr>
            <w:tcW w:w="1872" w:type="dxa"/>
          </w:tcPr>
          <w:p w14:paraId="6CD43675" w14:textId="77777777" w:rsidR="00D4129E" w:rsidRDefault="00D4129E" w:rsidP="0011075B">
            <w:pPr>
              <w:pStyle w:val="TableSideHeading"/>
              <w:keepLines w:val="0"/>
              <w:rPr>
                <w:sz w:val="26"/>
              </w:rPr>
            </w:pPr>
          </w:p>
        </w:tc>
        <w:tc>
          <w:tcPr>
            <w:tcW w:w="624" w:type="dxa"/>
          </w:tcPr>
          <w:p w14:paraId="243A0A76" w14:textId="77777777" w:rsidR="00D4129E" w:rsidRDefault="00D4129E" w:rsidP="0011075B">
            <w:pPr>
              <w:pStyle w:val="TableText"/>
              <w:rPr>
                <w:sz w:val="26"/>
              </w:rPr>
            </w:pPr>
          </w:p>
        </w:tc>
        <w:tc>
          <w:tcPr>
            <w:tcW w:w="7149" w:type="dxa"/>
            <w:hideMark/>
          </w:tcPr>
          <w:p w14:paraId="61B01054" w14:textId="77777777" w:rsidR="00D4129E" w:rsidRDefault="00D4129E" w:rsidP="0011075B">
            <w:pPr>
              <w:pStyle w:val="TableBlock"/>
              <w:rPr>
                <w:sz w:val="26"/>
              </w:rPr>
            </w:pPr>
            <w:r>
              <w:rPr>
                <w:rFonts w:hint="cs"/>
                <w:sz w:val="26"/>
                <w:rtl/>
              </w:rPr>
              <w:t>(ב)</w:t>
            </w:r>
            <w:r>
              <w:rPr>
                <w:rFonts w:hint="cs"/>
                <w:sz w:val="26"/>
                <w:rtl/>
              </w:rPr>
              <w:tab/>
              <w:t>משטרת ישראל תקבע נוהל לעניין ביצוע הוראות סעיף 2.</w:t>
            </w:r>
          </w:p>
        </w:tc>
      </w:tr>
      <w:tr w:rsidR="00D4129E" w14:paraId="1C3A6B82" w14:textId="77777777" w:rsidTr="0011075B">
        <w:trPr>
          <w:cantSplit/>
        </w:trPr>
        <w:tc>
          <w:tcPr>
            <w:tcW w:w="1872" w:type="dxa"/>
            <w:hideMark/>
          </w:tcPr>
          <w:p w14:paraId="5DE71C79" w14:textId="77777777" w:rsidR="00D4129E" w:rsidRDefault="00D4129E" w:rsidP="0011075B">
            <w:pPr>
              <w:pStyle w:val="TableSideHeading"/>
              <w:keepLines w:val="0"/>
              <w:rPr>
                <w:sz w:val="26"/>
                <w:rtl/>
              </w:rPr>
            </w:pPr>
            <w:r>
              <w:rPr>
                <w:rFonts w:hint="cs"/>
                <w:sz w:val="26"/>
                <w:rtl/>
              </w:rPr>
              <w:t>דיווח לכנסת</w:t>
            </w:r>
          </w:p>
        </w:tc>
        <w:tc>
          <w:tcPr>
            <w:tcW w:w="624" w:type="dxa"/>
            <w:hideMark/>
          </w:tcPr>
          <w:p w14:paraId="063C31C4" w14:textId="77777777" w:rsidR="00D4129E" w:rsidRDefault="00D4129E" w:rsidP="0011075B">
            <w:pPr>
              <w:pStyle w:val="TableText"/>
              <w:keepLines w:val="0"/>
              <w:rPr>
                <w:sz w:val="26"/>
                <w:rtl/>
              </w:rPr>
            </w:pPr>
            <w:r>
              <w:rPr>
                <w:rFonts w:hint="cs"/>
                <w:sz w:val="26"/>
                <w:rtl/>
              </w:rPr>
              <w:t>8.</w:t>
            </w:r>
          </w:p>
        </w:tc>
        <w:tc>
          <w:tcPr>
            <w:tcW w:w="7149" w:type="dxa"/>
            <w:hideMark/>
          </w:tcPr>
          <w:p w14:paraId="4E4DDD95" w14:textId="567782C8" w:rsidR="00D4129E" w:rsidRDefault="00D4129E" w:rsidP="00903BC7">
            <w:pPr>
              <w:pStyle w:val="TableBlock"/>
              <w:rPr>
                <w:sz w:val="26"/>
                <w:rtl/>
              </w:rPr>
            </w:pPr>
            <w:r>
              <w:rPr>
                <w:rFonts w:hint="cs"/>
                <w:sz w:val="26"/>
                <w:rtl/>
              </w:rPr>
              <w:t>השר לביטחון הפנים ידווח בכתב לוועדת החוקה, חוק ומשפט של הכנסת, ב</w:t>
            </w:r>
            <w:r w:rsidR="00903BC7">
              <w:rPr>
                <w:rFonts w:hint="cs"/>
                <w:sz w:val="26"/>
                <w:rtl/>
              </w:rPr>
              <w:t>-</w:t>
            </w:r>
            <w:r>
              <w:rPr>
                <w:rFonts w:hint="cs"/>
                <w:sz w:val="26"/>
                <w:rtl/>
              </w:rPr>
              <w:t>1 במרס, מ</w:t>
            </w:r>
            <w:r w:rsidR="00903BC7">
              <w:rPr>
                <w:rFonts w:hint="cs"/>
                <w:sz w:val="26"/>
                <w:rtl/>
              </w:rPr>
              <w:t>י</w:t>
            </w:r>
            <w:r>
              <w:rPr>
                <w:rFonts w:hint="cs"/>
                <w:sz w:val="26"/>
                <w:rtl/>
              </w:rPr>
              <w:t>די שנה, על מספר צווי החסימה שניתנו לפי סעיף 2 וכן על מספר ההוראות להסרת החסימה לפי סעיף 5.</w:t>
            </w:r>
          </w:p>
        </w:tc>
      </w:tr>
      <w:tr w:rsidR="00D4129E" w14:paraId="56CC7FB6" w14:textId="77777777" w:rsidTr="0011075B">
        <w:trPr>
          <w:cantSplit/>
        </w:trPr>
        <w:tc>
          <w:tcPr>
            <w:tcW w:w="1872" w:type="dxa"/>
            <w:hideMark/>
          </w:tcPr>
          <w:p w14:paraId="083B0D8E" w14:textId="77777777" w:rsidR="00D4129E" w:rsidRDefault="00D4129E" w:rsidP="0011075B">
            <w:pPr>
              <w:pStyle w:val="TableSideHeading"/>
              <w:keepLines w:val="0"/>
              <w:rPr>
                <w:sz w:val="26"/>
              </w:rPr>
            </w:pPr>
            <w:r>
              <w:rPr>
                <w:rFonts w:hint="cs"/>
                <w:sz w:val="26"/>
                <w:rtl/>
              </w:rPr>
              <w:t xml:space="preserve">תיקון חוק בתי משפט לעניינים </w:t>
            </w:r>
            <w:proofErr w:type="spellStart"/>
            <w:r>
              <w:rPr>
                <w:rFonts w:hint="cs"/>
                <w:sz w:val="26"/>
                <w:rtl/>
              </w:rPr>
              <w:t>מינהליים</w:t>
            </w:r>
            <w:proofErr w:type="spellEnd"/>
          </w:p>
        </w:tc>
        <w:tc>
          <w:tcPr>
            <w:tcW w:w="624" w:type="dxa"/>
            <w:hideMark/>
          </w:tcPr>
          <w:p w14:paraId="5C83C452" w14:textId="77777777" w:rsidR="00D4129E" w:rsidRDefault="00D4129E" w:rsidP="0011075B">
            <w:pPr>
              <w:pStyle w:val="TableText"/>
            </w:pPr>
            <w:r>
              <w:rPr>
                <w:rFonts w:hint="cs"/>
                <w:rtl/>
              </w:rPr>
              <w:t>9.</w:t>
            </w:r>
          </w:p>
        </w:tc>
        <w:tc>
          <w:tcPr>
            <w:tcW w:w="7149" w:type="dxa"/>
            <w:hideMark/>
          </w:tcPr>
          <w:p w14:paraId="460F5F6C" w14:textId="424F62B3" w:rsidR="00D4129E" w:rsidRDefault="00D4129E" w:rsidP="00874A8D">
            <w:pPr>
              <w:pStyle w:val="TableBlock"/>
              <w:rPr>
                <w:rtl/>
              </w:rPr>
            </w:pPr>
            <w:r>
              <w:rPr>
                <w:rFonts w:hint="cs"/>
                <w:rtl/>
              </w:rPr>
              <w:t xml:space="preserve">בחוק בתי משפט לעניינים </w:t>
            </w:r>
            <w:proofErr w:type="spellStart"/>
            <w:r>
              <w:rPr>
                <w:rFonts w:hint="cs"/>
                <w:rtl/>
              </w:rPr>
              <w:t>מינהליים</w:t>
            </w:r>
            <w:proofErr w:type="spellEnd"/>
            <w:r>
              <w:rPr>
                <w:rFonts w:hint="cs"/>
                <w:rtl/>
              </w:rPr>
              <w:t xml:space="preserve">, </w:t>
            </w:r>
            <w:proofErr w:type="spellStart"/>
            <w:r>
              <w:rPr>
                <w:rFonts w:hint="cs"/>
                <w:rtl/>
              </w:rPr>
              <w:t>התש"ס</w:t>
            </w:r>
            <w:proofErr w:type="spellEnd"/>
            <w:r>
              <w:rPr>
                <w:rFonts w:hint="cs"/>
                <w:rtl/>
              </w:rPr>
              <w:t>–2000</w:t>
            </w:r>
            <w:r>
              <w:rPr>
                <w:szCs w:val="20"/>
                <w:rtl/>
              </w:rPr>
              <w:footnoteReference w:id="5"/>
            </w:r>
            <w:r>
              <w:rPr>
                <w:rFonts w:hint="cs"/>
                <w:rtl/>
              </w:rPr>
              <w:t>, בתוספת הראשונה, אחרי פרט (</w:t>
            </w:r>
            <w:r w:rsidR="00874A8D">
              <w:rPr>
                <w:rFonts w:hint="cs"/>
                <w:rtl/>
              </w:rPr>
              <w:t>57</w:t>
            </w:r>
            <w:r>
              <w:rPr>
                <w:rFonts w:hint="cs"/>
                <w:rtl/>
              </w:rPr>
              <w:t>) יבוא:</w:t>
            </w:r>
          </w:p>
        </w:tc>
      </w:tr>
      <w:tr w:rsidR="00D4129E" w14:paraId="57E37F53" w14:textId="77777777" w:rsidTr="0011075B">
        <w:trPr>
          <w:cantSplit/>
        </w:trPr>
        <w:tc>
          <w:tcPr>
            <w:tcW w:w="1872" w:type="dxa"/>
          </w:tcPr>
          <w:p w14:paraId="7E4C3BE9" w14:textId="77777777" w:rsidR="00D4129E" w:rsidRDefault="00D4129E" w:rsidP="0011075B">
            <w:pPr>
              <w:pStyle w:val="TableSideHeading"/>
              <w:keepLines w:val="0"/>
              <w:rPr>
                <w:sz w:val="26"/>
                <w:rtl/>
              </w:rPr>
            </w:pPr>
          </w:p>
        </w:tc>
        <w:tc>
          <w:tcPr>
            <w:tcW w:w="624" w:type="dxa"/>
          </w:tcPr>
          <w:p w14:paraId="4DA34ED5" w14:textId="77777777" w:rsidR="00D4129E" w:rsidRDefault="00D4129E" w:rsidP="0011075B">
            <w:pPr>
              <w:pStyle w:val="TableText"/>
              <w:rPr>
                <w:rtl/>
              </w:rPr>
            </w:pPr>
          </w:p>
        </w:tc>
        <w:tc>
          <w:tcPr>
            <w:tcW w:w="7149" w:type="dxa"/>
            <w:hideMark/>
          </w:tcPr>
          <w:p w14:paraId="0D141E85" w14:textId="352A569C" w:rsidR="00D4129E" w:rsidRDefault="00D4129E" w:rsidP="00903BC7">
            <w:pPr>
              <w:pStyle w:val="TableBlock"/>
              <w:rPr>
                <w:sz w:val="26"/>
                <w:rtl/>
              </w:rPr>
            </w:pPr>
            <w:r>
              <w:rPr>
                <w:rFonts w:hint="cs"/>
                <w:sz w:val="26"/>
                <w:rtl/>
              </w:rPr>
              <w:t>" (</w:t>
            </w:r>
            <w:r w:rsidR="00903BC7">
              <w:rPr>
                <w:rFonts w:hint="cs"/>
                <w:sz w:val="26"/>
                <w:rtl/>
              </w:rPr>
              <w:t>58</w:t>
            </w:r>
            <w:r>
              <w:rPr>
                <w:rFonts w:hint="cs"/>
                <w:sz w:val="26"/>
                <w:rtl/>
              </w:rPr>
              <w:t>)</w:t>
            </w:r>
            <w:r>
              <w:rPr>
                <w:rFonts w:hint="cs"/>
                <w:sz w:val="26"/>
                <w:rtl/>
              </w:rPr>
              <w:tab/>
              <w:t xml:space="preserve">שירות טלפוני המבצע עבירה – החלטה לחסום מספר טלפון לפי סעיף 2 לחוק חסימת גישה לקווי טלפון המשמשים לפרסום ומסירת מידע בדבר זנות, </w:t>
            </w:r>
            <w:proofErr w:type="spellStart"/>
            <w:r>
              <w:rPr>
                <w:rFonts w:hint="cs"/>
                <w:sz w:val="26"/>
                <w:rtl/>
              </w:rPr>
              <w:t>התשע"ז</w:t>
            </w:r>
            <w:proofErr w:type="spellEnd"/>
            <w:r>
              <w:rPr>
                <w:rFonts w:hint="cs"/>
                <w:sz w:val="26"/>
                <w:rtl/>
              </w:rPr>
              <w:t xml:space="preserve">–2017." </w:t>
            </w:r>
            <w:r>
              <w:rPr>
                <w:rFonts w:hint="cs"/>
                <w:sz w:val="26"/>
                <w:rtl/>
              </w:rPr>
              <w:tab/>
            </w:r>
          </w:p>
        </w:tc>
      </w:tr>
      <w:tr w:rsidR="00D4129E" w14:paraId="6699C7CE" w14:textId="77777777" w:rsidTr="0011075B">
        <w:trPr>
          <w:cantSplit/>
        </w:trPr>
        <w:tc>
          <w:tcPr>
            <w:tcW w:w="1872" w:type="dxa"/>
          </w:tcPr>
          <w:p w14:paraId="4D987708" w14:textId="77777777" w:rsidR="00D4129E" w:rsidRDefault="00D4129E" w:rsidP="0011075B">
            <w:pPr>
              <w:pStyle w:val="TableSideHeading"/>
              <w:keepLines w:val="0"/>
              <w:rPr>
                <w:sz w:val="26"/>
                <w:rtl/>
              </w:rPr>
            </w:pPr>
            <w:r>
              <w:rPr>
                <w:rFonts w:hint="cs"/>
                <w:sz w:val="26"/>
                <w:rtl/>
              </w:rPr>
              <w:t>תחילה</w:t>
            </w:r>
          </w:p>
        </w:tc>
        <w:tc>
          <w:tcPr>
            <w:tcW w:w="624" w:type="dxa"/>
          </w:tcPr>
          <w:p w14:paraId="6D1B4C9D" w14:textId="4B2F2121" w:rsidR="00D4129E" w:rsidRDefault="00D4129E" w:rsidP="0011075B">
            <w:pPr>
              <w:pStyle w:val="TableText"/>
              <w:rPr>
                <w:rtl/>
              </w:rPr>
            </w:pPr>
            <w:r>
              <w:rPr>
                <w:rFonts w:hint="cs"/>
                <w:rtl/>
              </w:rPr>
              <w:t>10.</w:t>
            </w:r>
          </w:p>
        </w:tc>
        <w:tc>
          <w:tcPr>
            <w:tcW w:w="7149" w:type="dxa"/>
          </w:tcPr>
          <w:p w14:paraId="4B5713A7" w14:textId="77777777" w:rsidR="00D4129E" w:rsidRDefault="00D4129E" w:rsidP="0011075B">
            <w:pPr>
              <w:pStyle w:val="TableBlock"/>
              <w:rPr>
                <w:sz w:val="26"/>
                <w:rtl/>
              </w:rPr>
            </w:pPr>
            <w:r>
              <w:rPr>
                <w:rFonts w:hint="cs"/>
                <w:sz w:val="26"/>
                <w:rtl/>
              </w:rPr>
              <w:t>תחילתו של חוק זה חודש מיום פרסומו.</w:t>
            </w:r>
          </w:p>
        </w:tc>
      </w:tr>
    </w:tbl>
    <w:p w14:paraId="7F6961CA" w14:textId="77777777" w:rsidR="002D1EE3" w:rsidRDefault="002D1EE3" w:rsidP="002D1EE3">
      <w:pPr>
        <w:pStyle w:val="HeadDivreiHesber"/>
        <w:rPr>
          <w:rtl/>
        </w:rPr>
      </w:pPr>
      <w:r w:rsidRPr="0027450A">
        <w:rPr>
          <w:rFonts w:hint="cs"/>
          <w:rtl/>
        </w:rPr>
        <w:t>דברי הסבר</w:t>
      </w:r>
    </w:p>
    <w:p w14:paraId="66D83050" w14:textId="7FBC6E48" w:rsidR="00A54DA2" w:rsidRDefault="00A54DA2" w:rsidP="00F479B3">
      <w:pPr>
        <w:pStyle w:val="Hesber"/>
        <w:rPr>
          <w:rtl/>
        </w:rPr>
      </w:pPr>
      <w:r>
        <w:rPr>
          <w:rFonts w:hint="cs"/>
          <w:rtl/>
        </w:rPr>
        <w:t xml:space="preserve">הצעת חוק זו נועדה להעניק </w:t>
      </w:r>
      <w:r w:rsidR="008A11C9">
        <w:rPr>
          <w:rFonts w:hint="cs"/>
          <w:rtl/>
        </w:rPr>
        <w:t>למשטרת ישראל כלים למיגור</w:t>
      </w:r>
      <w:r>
        <w:rPr>
          <w:rFonts w:hint="cs"/>
          <w:rtl/>
        </w:rPr>
        <w:t xml:space="preserve"> תופעת </w:t>
      </w:r>
      <w:r w:rsidR="008A11C9">
        <w:rPr>
          <w:rFonts w:hint="cs"/>
          <w:rtl/>
        </w:rPr>
        <w:t>פרסומי ושירותי</w:t>
      </w:r>
      <w:r>
        <w:rPr>
          <w:rFonts w:hint="cs"/>
          <w:rtl/>
        </w:rPr>
        <w:t xml:space="preserve"> הזנות בהם אנו נתקלים </w:t>
      </w:r>
      <w:r w:rsidR="008A11C9">
        <w:rPr>
          <w:rFonts w:hint="cs"/>
          <w:rtl/>
        </w:rPr>
        <w:t>חדשות לבקרים ב</w:t>
      </w:r>
      <w:r w:rsidR="00F479B3">
        <w:rPr>
          <w:rFonts w:hint="cs"/>
          <w:rtl/>
        </w:rPr>
        <w:t>רח</w:t>
      </w:r>
      <w:r w:rsidR="008A11C9">
        <w:rPr>
          <w:rFonts w:hint="cs"/>
          <w:rtl/>
        </w:rPr>
        <w:t>בי הארץ</w:t>
      </w:r>
      <w:r>
        <w:rPr>
          <w:rFonts w:hint="cs"/>
          <w:rtl/>
        </w:rPr>
        <w:t>.</w:t>
      </w:r>
    </w:p>
    <w:p w14:paraId="7A5FC338" w14:textId="6A16C90D" w:rsidR="00A54DA2" w:rsidRDefault="00A54DA2" w:rsidP="008A11C9">
      <w:pPr>
        <w:pStyle w:val="Hesber"/>
        <w:rPr>
          <w:rtl/>
        </w:rPr>
      </w:pPr>
      <w:r>
        <w:rPr>
          <w:rFonts w:hint="cs"/>
          <w:rtl/>
        </w:rPr>
        <w:t>מדי יום ביומו, אנו נתקלים בפרסום של שירותי מין על שמש</w:t>
      </w:r>
      <w:r w:rsidR="008A11C9">
        <w:rPr>
          <w:rFonts w:hint="cs"/>
          <w:rtl/>
        </w:rPr>
        <w:t>ו</w:t>
      </w:r>
      <w:r>
        <w:rPr>
          <w:rFonts w:hint="cs"/>
          <w:rtl/>
        </w:rPr>
        <w:t>ת</w:t>
      </w:r>
      <w:r w:rsidR="00A078E5">
        <w:rPr>
          <w:rFonts w:hint="cs"/>
          <w:rtl/>
        </w:rPr>
        <w:t xml:space="preserve"> הרכב</w:t>
      </w:r>
      <w:r w:rsidR="008A11C9">
        <w:rPr>
          <w:rFonts w:hint="cs"/>
          <w:rtl/>
        </w:rPr>
        <w:t xml:space="preserve">ים, פזורים ברחובות העיר, </w:t>
      </w:r>
      <w:r>
        <w:rPr>
          <w:rFonts w:hint="cs"/>
          <w:rtl/>
        </w:rPr>
        <w:t>בעיתונים המקומיים</w:t>
      </w:r>
      <w:r w:rsidR="008A11C9">
        <w:rPr>
          <w:rFonts w:hint="cs"/>
          <w:rtl/>
        </w:rPr>
        <w:t>, בעלוני</w:t>
      </w:r>
      <w:r>
        <w:rPr>
          <w:rFonts w:hint="cs"/>
          <w:rtl/>
        </w:rPr>
        <w:t xml:space="preserve"> פרסום המגיעים לתיבות הדואר</w:t>
      </w:r>
      <w:r w:rsidR="00F479B3">
        <w:rPr>
          <w:rFonts w:hint="cs"/>
          <w:rtl/>
        </w:rPr>
        <w:t>, ברחבי רשת האינטרנט</w:t>
      </w:r>
      <w:r w:rsidR="008A11C9">
        <w:rPr>
          <w:rFonts w:hint="cs"/>
          <w:rtl/>
        </w:rPr>
        <w:t xml:space="preserve"> ובמקומות רבים אחרים</w:t>
      </w:r>
      <w:r>
        <w:rPr>
          <w:rFonts w:hint="cs"/>
          <w:rtl/>
        </w:rPr>
        <w:t xml:space="preserve">. </w:t>
      </w:r>
      <w:r w:rsidR="00F479B3">
        <w:rPr>
          <w:rFonts w:hint="cs"/>
          <w:rtl/>
        </w:rPr>
        <w:t xml:space="preserve">חמור מכך, לא רק אנו נחשפים לתופעה, אלא </w:t>
      </w:r>
      <w:r>
        <w:rPr>
          <w:rFonts w:hint="cs"/>
          <w:rtl/>
        </w:rPr>
        <w:t>גם ילדינו.</w:t>
      </w:r>
    </w:p>
    <w:p w14:paraId="1C40A536" w14:textId="2F981D96" w:rsidR="00A078E5" w:rsidRDefault="008A11C9" w:rsidP="00903BC7">
      <w:pPr>
        <w:pStyle w:val="Hesber"/>
        <w:rPr>
          <w:rtl/>
        </w:rPr>
      </w:pPr>
      <w:r>
        <w:rPr>
          <w:rFonts w:hint="cs"/>
          <w:rtl/>
        </w:rPr>
        <w:t xml:space="preserve">מטרת </w:t>
      </w:r>
      <w:r w:rsidR="00A54DA2">
        <w:rPr>
          <w:rFonts w:hint="cs"/>
          <w:rtl/>
        </w:rPr>
        <w:t>הצעת החוק</w:t>
      </w:r>
      <w:r>
        <w:rPr>
          <w:rFonts w:hint="cs"/>
          <w:rtl/>
        </w:rPr>
        <w:t xml:space="preserve"> היא לפגוע</w:t>
      </w:r>
      <w:r w:rsidR="00A54DA2">
        <w:rPr>
          <w:rFonts w:hint="cs"/>
          <w:rtl/>
        </w:rPr>
        <w:t xml:space="preserve"> </w:t>
      </w:r>
      <w:r>
        <w:rPr>
          <w:rFonts w:hint="cs"/>
          <w:rtl/>
        </w:rPr>
        <w:t>בכדאיות הפרסום של שירותי</w:t>
      </w:r>
      <w:r w:rsidR="00A54DA2">
        <w:rPr>
          <w:rFonts w:hint="cs"/>
          <w:rtl/>
        </w:rPr>
        <w:t xml:space="preserve"> הזנות ו</w:t>
      </w:r>
      <w:r>
        <w:rPr>
          <w:rFonts w:hint="cs"/>
          <w:rtl/>
        </w:rPr>
        <w:t>ל</w:t>
      </w:r>
      <w:r w:rsidR="00A54DA2">
        <w:rPr>
          <w:rFonts w:hint="cs"/>
          <w:rtl/>
        </w:rPr>
        <w:t>ספק כלי משמעותי</w:t>
      </w:r>
      <w:r>
        <w:rPr>
          <w:rFonts w:hint="cs"/>
          <w:rtl/>
        </w:rPr>
        <w:t xml:space="preserve"> נוסף</w:t>
      </w:r>
      <w:r w:rsidR="00A54DA2">
        <w:rPr>
          <w:rFonts w:hint="cs"/>
          <w:rtl/>
        </w:rPr>
        <w:t xml:space="preserve"> למשטרת ישראל </w:t>
      </w:r>
      <w:r w:rsidR="00A078E5">
        <w:rPr>
          <w:rtl/>
        </w:rPr>
        <w:t>–</w:t>
      </w:r>
      <w:r w:rsidR="00A078E5">
        <w:rPr>
          <w:rFonts w:hint="cs"/>
          <w:rtl/>
        </w:rPr>
        <w:t xml:space="preserve"> חסימת קו הטלפון של מפרסם שירותי המין. חסימת קו הטלפון, בכפוף לבקשת </w:t>
      </w:r>
      <w:r>
        <w:rPr>
          <w:rFonts w:hint="cs"/>
          <w:sz w:val="26"/>
          <w:rtl/>
        </w:rPr>
        <w:t>גורם האכיפה המוסמך לכך במשטרת ישראל</w:t>
      </w:r>
      <w:r w:rsidR="00A078E5">
        <w:rPr>
          <w:rFonts w:hint="cs"/>
          <w:rtl/>
        </w:rPr>
        <w:t xml:space="preserve"> ולאישור</w:t>
      </w:r>
      <w:r w:rsidR="00F479B3">
        <w:rPr>
          <w:rFonts w:hint="cs"/>
          <w:rtl/>
        </w:rPr>
        <w:t>ו</w:t>
      </w:r>
      <w:r w:rsidR="00A078E5">
        <w:rPr>
          <w:rFonts w:hint="cs"/>
          <w:rtl/>
        </w:rPr>
        <w:t xml:space="preserve"> של בית המשפט, תטפל בתופעה בשני מישורים, </w:t>
      </w:r>
      <w:r>
        <w:rPr>
          <w:rFonts w:hint="cs"/>
          <w:rtl/>
        </w:rPr>
        <w:t>מחד</w:t>
      </w:r>
      <w:r w:rsidR="00903BC7">
        <w:rPr>
          <w:rFonts w:hint="cs"/>
          <w:rtl/>
        </w:rPr>
        <w:t xml:space="preserve"> גיסא</w:t>
      </w:r>
      <w:r w:rsidR="00A078E5">
        <w:rPr>
          <w:rFonts w:hint="cs"/>
          <w:rtl/>
        </w:rPr>
        <w:t xml:space="preserve">, </w:t>
      </w:r>
      <w:r>
        <w:rPr>
          <w:rFonts w:hint="cs"/>
          <w:rtl/>
        </w:rPr>
        <w:t>חסימת</w:t>
      </w:r>
      <w:r w:rsidR="00A078E5">
        <w:rPr>
          <w:rFonts w:hint="cs"/>
          <w:rtl/>
        </w:rPr>
        <w:t xml:space="preserve"> הגישה לשירות המין באופן </w:t>
      </w:r>
      <w:proofErr w:type="spellStart"/>
      <w:r w:rsidR="00A078E5">
        <w:rPr>
          <w:rFonts w:hint="cs"/>
          <w:rtl/>
        </w:rPr>
        <w:t>מי</w:t>
      </w:r>
      <w:r w:rsidR="00903BC7">
        <w:rPr>
          <w:rFonts w:hint="cs"/>
          <w:rtl/>
        </w:rPr>
        <w:t>י</w:t>
      </w:r>
      <w:r w:rsidR="00A078E5">
        <w:rPr>
          <w:rFonts w:hint="cs"/>
          <w:rtl/>
        </w:rPr>
        <w:t>די</w:t>
      </w:r>
      <w:proofErr w:type="spellEnd"/>
      <w:r>
        <w:rPr>
          <w:rFonts w:hint="cs"/>
          <w:rtl/>
        </w:rPr>
        <w:t>, ומאידך</w:t>
      </w:r>
      <w:r w:rsidR="00903BC7">
        <w:rPr>
          <w:rFonts w:hint="cs"/>
          <w:rtl/>
        </w:rPr>
        <w:t xml:space="preserve"> גיסא</w:t>
      </w:r>
      <w:r w:rsidR="00A078E5">
        <w:rPr>
          <w:rFonts w:hint="cs"/>
          <w:rtl/>
        </w:rPr>
        <w:t xml:space="preserve">, </w:t>
      </w:r>
      <w:r>
        <w:rPr>
          <w:rFonts w:hint="cs"/>
          <w:rtl/>
        </w:rPr>
        <w:t xml:space="preserve">פגיעה בכדאיות הכלכלית של מפרסם שירותי המין בכך שכל פרסומיו, </w:t>
      </w:r>
      <w:r w:rsidR="00903BC7">
        <w:rPr>
          <w:rFonts w:hint="cs"/>
          <w:rtl/>
        </w:rPr>
        <w:t>בהם</w:t>
      </w:r>
      <w:r>
        <w:rPr>
          <w:rFonts w:hint="cs"/>
          <w:rtl/>
        </w:rPr>
        <w:t xml:space="preserve"> השקיע מכספו, יהפכו </w:t>
      </w:r>
      <w:proofErr w:type="spellStart"/>
      <w:r>
        <w:rPr>
          <w:rFonts w:hint="cs"/>
          <w:rtl/>
        </w:rPr>
        <w:t>מ</w:t>
      </w:r>
      <w:r w:rsidR="00903BC7">
        <w:rPr>
          <w:rFonts w:hint="cs"/>
          <w:rtl/>
        </w:rPr>
        <w:t>י</w:t>
      </w:r>
      <w:r>
        <w:rPr>
          <w:rFonts w:hint="cs"/>
          <w:rtl/>
        </w:rPr>
        <w:t>ידית</w:t>
      </w:r>
      <w:proofErr w:type="spellEnd"/>
      <w:r>
        <w:rPr>
          <w:rFonts w:hint="cs"/>
          <w:rtl/>
        </w:rPr>
        <w:t xml:space="preserve"> ללא רלוונטיים.</w:t>
      </w:r>
      <w:r w:rsidR="00A078E5">
        <w:rPr>
          <w:rFonts w:hint="cs"/>
          <w:rtl/>
        </w:rPr>
        <w:t xml:space="preserve"> </w:t>
      </w:r>
    </w:p>
    <w:p w14:paraId="7FDDC00D" w14:textId="23BC666D" w:rsidR="00BF61EB" w:rsidRDefault="00BF61EB" w:rsidP="00CF14B3">
      <w:pPr>
        <w:pStyle w:val="Hesber"/>
        <w:rPr>
          <w:rtl/>
        </w:rPr>
      </w:pPr>
      <w:r>
        <w:rPr>
          <w:rFonts w:hint="cs"/>
          <w:rtl/>
        </w:rPr>
        <w:t>הצעת חוק בנושא דומה הונחה על שולחן הכנסת העשרים על ידי חברת הכנסת מרב מיכאלי וקבוצת חברי הכנסת (</w:t>
      </w:r>
      <w:r w:rsidR="00CF14B3">
        <w:rPr>
          <w:rFonts w:hint="cs"/>
          <w:rtl/>
        </w:rPr>
        <w:t>פ3728/20).</w:t>
      </w:r>
    </w:p>
    <w:p w14:paraId="0FBEBF45" w14:textId="77777777" w:rsidR="00CF14B3" w:rsidRDefault="00CF14B3" w:rsidP="00CF14B3">
      <w:pPr>
        <w:pStyle w:val="Hesber"/>
        <w:rPr>
          <w:rtl/>
        </w:rPr>
      </w:pPr>
    </w:p>
    <w:p w14:paraId="7F7A04CD" w14:textId="77777777" w:rsidR="00CF14B3" w:rsidRPr="00D73212" w:rsidRDefault="00CF14B3" w:rsidP="00CF14B3">
      <w:pPr>
        <w:pStyle w:val="Hesber"/>
        <w:rPr>
          <w:color w:val="auto"/>
          <w:rtl/>
          <w:lang w:eastAsia="en-US"/>
        </w:rPr>
      </w:pPr>
      <w:r w:rsidRPr="00D73212">
        <w:rPr>
          <w:color w:val="auto"/>
          <w:rtl/>
          <w:lang w:eastAsia="en-US"/>
        </w:rPr>
        <w:t>---------------------------------</w:t>
      </w:r>
    </w:p>
    <w:p w14:paraId="071719F2" w14:textId="77777777" w:rsidR="00CF14B3" w:rsidRPr="00D73212" w:rsidRDefault="00CF14B3" w:rsidP="00CF14B3">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C4B1AEE" w14:textId="77777777" w:rsidR="00CF14B3" w:rsidRPr="00D73212" w:rsidRDefault="00CF14B3" w:rsidP="00CF14B3">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AF91390" w14:textId="266CBE20" w:rsidR="00CF14B3" w:rsidRDefault="00CF14B3" w:rsidP="00CF14B3">
      <w:pPr>
        <w:pStyle w:val="Hesber"/>
        <w:rPr>
          <w:rtl/>
        </w:rPr>
      </w:pPr>
      <w:r>
        <w:rPr>
          <w:rFonts w:hint="cs"/>
          <w:color w:val="auto"/>
          <w:rtl/>
          <w:lang w:eastAsia="en-US"/>
        </w:rPr>
        <w:t>כ"ה בטבת</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23.1</w:t>
      </w:r>
      <w:r w:rsidRPr="00D73212">
        <w:rPr>
          <w:color w:val="auto"/>
          <w:rtl/>
          <w:lang w:eastAsia="en-US"/>
        </w:rPr>
        <w:t>.</w:t>
      </w:r>
      <w:r>
        <w:rPr>
          <w:rFonts w:hint="cs"/>
          <w:color w:val="auto"/>
          <w:rtl/>
          <w:lang w:eastAsia="en-US"/>
        </w:rPr>
        <w:t>17</w:t>
      </w:r>
    </w:p>
    <w:sectPr w:rsidR="00CF14B3"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D4AC5">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4931762" w14:textId="77777777" w:rsidR="00D4129E" w:rsidRDefault="00D4129E" w:rsidP="00D4129E">
      <w:pPr>
        <w:pStyle w:val="a4"/>
        <w:rPr>
          <w:rtl/>
        </w:rPr>
      </w:pPr>
      <w:r>
        <w:rPr>
          <w:rStyle w:val="a6"/>
        </w:rPr>
        <w:footnoteRef/>
      </w:r>
      <w:r>
        <w:rPr>
          <w:rFonts w:hint="cs"/>
          <w:rtl/>
        </w:rPr>
        <w:t xml:space="preserve"> ס"ח </w:t>
      </w:r>
      <w:proofErr w:type="spellStart"/>
      <w:r>
        <w:rPr>
          <w:rFonts w:hint="cs"/>
          <w:rtl/>
        </w:rPr>
        <w:t>התשס"ח</w:t>
      </w:r>
      <w:proofErr w:type="spellEnd"/>
      <w:r>
        <w:rPr>
          <w:rFonts w:hint="cs"/>
          <w:rtl/>
        </w:rPr>
        <w:t>, עמ' 72.</w:t>
      </w:r>
    </w:p>
  </w:footnote>
  <w:footnote w:id="3">
    <w:p w14:paraId="09F4D383" w14:textId="77777777" w:rsidR="00D4129E" w:rsidRDefault="00D4129E" w:rsidP="00D4129E">
      <w:pPr>
        <w:pStyle w:val="a4"/>
        <w:rPr>
          <w:rtl/>
        </w:rPr>
      </w:pPr>
      <w:r>
        <w:rPr>
          <w:rStyle w:val="a6"/>
        </w:rPr>
        <w:footnoteRef/>
      </w:r>
      <w:r>
        <w:rPr>
          <w:rFonts w:hint="cs"/>
          <w:rtl/>
        </w:rPr>
        <w:t xml:space="preserve"> </w:t>
      </w:r>
      <w:r>
        <w:rPr>
          <w:rFonts w:hint="cs"/>
          <w:rtl/>
        </w:rPr>
        <w:t xml:space="preserve">ס"ח </w:t>
      </w:r>
      <w:proofErr w:type="spellStart"/>
      <w:r>
        <w:rPr>
          <w:rFonts w:hint="cs"/>
          <w:rtl/>
        </w:rPr>
        <w:t>התשמ"ב</w:t>
      </w:r>
      <w:proofErr w:type="spellEnd"/>
      <w:r>
        <w:rPr>
          <w:rFonts w:hint="cs"/>
          <w:rtl/>
        </w:rPr>
        <w:t>, עמ' 218.</w:t>
      </w:r>
    </w:p>
  </w:footnote>
  <w:footnote w:id="4">
    <w:p w14:paraId="1062F1F4" w14:textId="77777777" w:rsidR="00D4129E" w:rsidRDefault="00D4129E" w:rsidP="00D4129E">
      <w:pPr>
        <w:pStyle w:val="a4"/>
        <w:rPr>
          <w:rtl/>
        </w:rPr>
      </w:pPr>
      <w:r>
        <w:rPr>
          <w:rStyle w:val="a6"/>
        </w:rPr>
        <w:footnoteRef/>
      </w:r>
      <w:r>
        <w:rPr>
          <w:rFonts w:hint="cs"/>
          <w:rtl/>
        </w:rPr>
        <w:t xml:space="preserve"> </w:t>
      </w:r>
      <w:r>
        <w:rPr>
          <w:rFonts w:hint="cs"/>
          <w:rtl/>
        </w:rPr>
        <w:t xml:space="preserve">ס"ח </w:t>
      </w:r>
      <w:proofErr w:type="spellStart"/>
      <w:r>
        <w:rPr>
          <w:rFonts w:hint="cs"/>
          <w:rtl/>
        </w:rPr>
        <w:t>התשל"ז</w:t>
      </w:r>
      <w:proofErr w:type="spellEnd"/>
      <w:r>
        <w:rPr>
          <w:rFonts w:hint="cs"/>
          <w:rtl/>
        </w:rPr>
        <w:t>, עמ' 226.</w:t>
      </w:r>
    </w:p>
  </w:footnote>
  <w:footnote w:id="5">
    <w:p w14:paraId="3EE8DB4F" w14:textId="77777777" w:rsidR="00D4129E" w:rsidRDefault="00D4129E" w:rsidP="00D4129E">
      <w:pPr>
        <w:pStyle w:val="a4"/>
        <w:rPr>
          <w:rtl/>
        </w:rPr>
      </w:pPr>
      <w:r>
        <w:rPr>
          <w:rStyle w:val="a6"/>
        </w:rPr>
        <w:footnoteRef/>
      </w:r>
      <w:r>
        <w:rPr>
          <w:rFonts w:hint="cs"/>
          <w:rtl/>
        </w:rPr>
        <w:t xml:space="preserve"> </w:t>
      </w:r>
      <w:r>
        <w:rPr>
          <w:rFonts w:hint="cs"/>
          <w:rtl/>
        </w:rPr>
        <w:t xml:space="preserve">ס"ח </w:t>
      </w:r>
      <w:proofErr w:type="spellStart"/>
      <w:r>
        <w:rPr>
          <w:rFonts w:hint="cs"/>
          <w:rtl/>
        </w:rPr>
        <w:t>התש"ס</w:t>
      </w:r>
      <w:proofErr w:type="spellEnd"/>
      <w:r>
        <w:rPr>
          <w:rFonts w:hint="cs"/>
          <w:rtl/>
        </w:rPr>
        <w:t>, עמ' 190.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0337A1"/>
    <w:multiLevelType w:val="hybridMultilevel"/>
    <w:tmpl w:val="9FBA33DA"/>
    <w:lvl w:ilvl="0" w:tplc="15AA8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1706A"/>
    <w:rsid w:val="00735FE9"/>
    <w:rsid w:val="00763CAA"/>
    <w:rsid w:val="00765F66"/>
    <w:rsid w:val="0078664F"/>
    <w:rsid w:val="00797625"/>
    <w:rsid w:val="007C3FA6"/>
    <w:rsid w:val="007D585A"/>
    <w:rsid w:val="007D5A12"/>
    <w:rsid w:val="007E59F9"/>
    <w:rsid w:val="00810BCD"/>
    <w:rsid w:val="00812C98"/>
    <w:rsid w:val="00814D92"/>
    <w:rsid w:val="0083181D"/>
    <w:rsid w:val="00843EB2"/>
    <w:rsid w:val="00865572"/>
    <w:rsid w:val="00874A8D"/>
    <w:rsid w:val="00874BBC"/>
    <w:rsid w:val="00892135"/>
    <w:rsid w:val="00895449"/>
    <w:rsid w:val="00897879"/>
    <w:rsid w:val="008A11C9"/>
    <w:rsid w:val="008A6870"/>
    <w:rsid w:val="008C2DDC"/>
    <w:rsid w:val="008C7516"/>
    <w:rsid w:val="008E6EC7"/>
    <w:rsid w:val="008F0D63"/>
    <w:rsid w:val="008F1308"/>
    <w:rsid w:val="008F2C35"/>
    <w:rsid w:val="008F6665"/>
    <w:rsid w:val="00903BC7"/>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078E5"/>
    <w:rsid w:val="00A14672"/>
    <w:rsid w:val="00A26BD6"/>
    <w:rsid w:val="00A443CF"/>
    <w:rsid w:val="00A54DA2"/>
    <w:rsid w:val="00A6611D"/>
    <w:rsid w:val="00A6616D"/>
    <w:rsid w:val="00A82CB7"/>
    <w:rsid w:val="00A942C1"/>
    <w:rsid w:val="00AA2F03"/>
    <w:rsid w:val="00AC36F7"/>
    <w:rsid w:val="00AC63A4"/>
    <w:rsid w:val="00AD239E"/>
    <w:rsid w:val="00B10265"/>
    <w:rsid w:val="00B16A99"/>
    <w:rsid w:val="00B16BCA"/>
    <w:rsid w:val="00B21211"/>
    <w:rsid w:val="00B35784"/>
    <w:rsid w:val="00B733A7"/>
    <w:rsid w:val="00B75C91"/>
    <w:rsid w:val="00B975AD"/>
    <w:rsid w:val="00BC45FB"/>
    <w:rsid w:val="00BF148D"/>
    <w:rsid w:val="00BF61EB"/>
    <w:rsid w:val="00C23B1A"/>
    <w:rsid w:val="00C310EB"/>
    <w:rsid w:val="00C9176A"/>
    <w:rsid w:val="00CF14B3"/>
    <w:rsid w:val="00CF1AA2"/>
    <w:rsid w:val="00D17774"/>
    <w:rsid w:val="00D4129E"/>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D4AC5"/>
    <w:rsid w:val="00EF3A3A"/>
    <w:rsid w:val="00F479B3"/>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locked/>
    <w:rsid w:val="00A6616D"/>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2FF11899-0D46-48F2-91D6-D83E99DEE0CC}"/>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6DA7037F-DD64-49FF-8C8B-912A7B72A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749</Words>
  <Characters>3719</Characters>
  <Application>Microsoft Office Word</Application>
  <DocSecurity>4</DocSecurity>
  <Lines>30</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שמוליק גרוסמן</cp:lastModifiedBy>
  <cp:revision>2</cp:revision>
  <cp:lastPrinted>2017-01-19T10:45:00Z</cp:lastPrinted>
  <dcterms:created xsi:type="dcterms:W3CDTF">2018-02-22T09:32:00Z</dcterms:created>
  <dcterms:modified xsi:type="dcterms:W3CDTF">2018-02-22T09:32:00Z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2065432</vt:r8>
  </property>
</Properties>
</file>