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FF2BE9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FF2BE9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 w:rsidRPr="00FF2BE9">
        <w:rPr>
          <w:rFonts w:hint="cs"/>
          <w:b w:val="0"/>
          <w:bCs w:val="0"/>
          <w:szCs w:val="20"/>
          <w:rtl/>
        </w:rPr>
        <w:t>2021253</w:t>
      </w:r>
      <w:bookmarkEnd w:id="1"/>
    </w:p>
    <w:p w14:paraId="7F6961A2" w14:textId="53D639AE" w:rsidR="00E13C27" w:rsidRPr="00FF2BE9" w:rsidRDefault="00E13C27" w:rsidP="00A443CF">
      <w:pPr>
        <w:pStyle w:val="HeadHatzaotHok"/>
        <w:rPr>
          <w:sz w:val="28"/>
          <w:szCs w:val="28"/>
          <w:rtl/>
        </w:rPr>
      </w:pPr>
      <w:r w:rsidRPr="00FF2BE9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 w:rsidRPr="00FF2BE9"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F2BE9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Pr="00FF2BE9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F2BE9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אמיר אוחנה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שולי מועלם-רפאלי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דוד ביטן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מרגי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טלי פלוסקוב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שרן השכל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עודד פורר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רועי פולקמן</w:t>
      </w:r>
      <w:bookmarkEnd w:id="4"/>
    </w:p>
    <w:p w14:paraId="7F6961AA" w14:textId="39F9D96B" w:rsidR="00E13C27" w:rsidRPr="00FF2BE9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 w:rsidRPr="00FF2BE9">
        <w:rPr>
          <w:rtl/>
        </w:rPr>
        <w:t xml:space="preserve"> </w:t>
      </w:r>
      <w:bookmarkEnd w:id="5"/>
      <w:r w:rsidR="002200A1" w:rsidRPr="00FF2BE9">
        <w:rPr>
          <w:rFonts w:hint="cs"/>
          <w:rtl/>
        </w:rPr>
        <w:tab/>
      </w:r>
      <w:bookmarkStart w:id="6" w:name="LGS_PM_NamesJoin"/>
      <w:r w:rsidRPr="00FF2BE9">
        <w:rPr>
          <w:rFonts w:hint="cs"/>
          <w:rtl/>
        </w:rPr>
        <w:t xml:space="preserve"> </w:t>
      </w:r>
      <w:bookmarkEnd w:id="6"/>
    </w:p>
    <w:p w14:paraId="34DB4103" w14:textId="77777777" w:rsidR="00904591" w:rsidRPr="00FF2BE9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 w:rsidRPr="00FF2BE9">
        <w:t>____</w:t>
      </w:r>
      <w:r w:rsidR="00E374F2" w:rsidRPr="00FF2BE9">
        <w:t>__</w:t>
      </w:r>
      <w:r w:rsidRPr="00FF2BE9">
        <w:t>________________________________________</w:t>
      </w:r>
      <w:r w:rsidR="00E06736" w:rsidRPr="00FF2BE9">
        <w:tab/>
      </w:r>
      <w:r w:rsidR="00E13C27" w:rsidRPr="00FF2BE9">
        <w:rPr>
          <w:rFonts w:hint="cs"/>
          <w:rtl/>
        </w:rPr>
        <w:tab/>
      </w:r>
      <w:r w:rsidR="00E13C27" w:rsidRPr="00FF2BE9">
        <w:rPr>
          <w:rFonts w:hint="cs"/>
          <w:rtl/>
        </w:rPr>
        <w:tab/>
      </w:r>
      <w:r w:rsidR="00E13C27" w:rsidRPr="00FF2BE9">
        <w:rPr>
          <w:rFonts w:hint="cs"/>
          <w:rtl/>
        </w:rPr>
        <w:tab/>
      </w:r>
      <w:r w:rsidR="00904591" w:rsidRPr="00FF2BE9">
        <w:t xml:space="preserve">           </w:t>
      </w:r>
    </w:p>
    <w:p w14:paraId="7F6961AB" w14:textId="256138AA" w:rsidR="00E13C27" w:rsidRPr="00FF2BE9" w:rsidRDefault="00904591" w:rsidP="00904591">
      <w:pPr>
        <w:pStyle w:val="David"/>
        <w:spacing w:before="0" w:line="240" w:lineRule="auto"/>
        <w:ind w:left="3544"/>
        <w:rPr>
          <w:rtl/>
        </w:rPr>
      </w:pPr>
      <w:r w:rsidRPr="00FF2BE9">
        <w:t xml:space="preserve">                                            </w:t>
      </w:r>
      <w:r w:rsidR="008F1308" w:rsidRPr="00FF2BE9">
        <w:t xml:space="preserve"> </w:t>
      </w:r>
      <w:bookmarkStart w:id="7" w:name="Private_Number"/>
      <w:r>
        <w:rPr>
          <w:rFonts w:hint="cs"/>
          <w:rtl/>
        </w:rPr>
        <w:t>פ/4744/20</w:t>
      </w:r>
      <w:bookmarkEnd w:id="7"/>
    </w:p>
    <w:p w14:paraId="7F6961AC" w14:textId="77777777" w:rsidR="00E13C27" w:rsidRPr="00FF2BE9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E" w14:textId="4AB45600" w:rsidR="00E13C27" w:rsidRPr="00FF2BE9" w:rsidRDefault="00A443CF" w:rsidP="00191CEF">
      <w:pPr>
        <w:pStyle w:val="HeadHatzaotHok"/>
        <w:rPr>
          <w:rtl/>
        </w:rPr>
      </w:pPr>
      <w:bookmarkStart w:id="8" w:name="LGS_Subject"/>
      <w:r w:rsidRPr="00FF2BE9">
        <w:rPr>
          <w:rFonts w:hint="cs"/>
          <w:rtl/>
        </w:rPr>
        <w:t xml:space="preserve">הצעת חוק הכניסה לישראל (תיקון – תחולה על תושבי מזרח ירושלים ושיקול דעת שר הפנים), </w:t>
      </w:r>
      <w:proofErr w:type="spellStart"/>
      <w:r w:rsidRPr="00FF2BE9">
        <w:rPr>
          <w:rFonts w:hint="cs"/>
          <w:rtl/>
        </w:rPr>
        <w:t>התשע"ח</w:t>
      </w:r>
      <w:proofErr w:type="spellEnd"/>
      <w:r w:rsidRPr="00FF2BE9">
        <w:rPr>
          <w:rFonts w:hint="cs"/>
          <w:rtl/>
        </w:rPr>
        <w:t>–2017</w:t>
      </w:r>
      <w:bookmarkEnd w:id="8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5898"/>
      </w:tblGrid>
      <w:tr w:rsidR="00E06C78" w:rsidRPr="00FF2BE9" w14:paraId="3D9B61D1" w14:textId="77777777" w:rsidTr="002C3041">
        <w:trPr>
          <w:cantSplit/>
          <w:trHeight w:val="60"/>
        </w:trPr>
        <w:tc>
          <w:tcPr>
            <w:tcW w:w="1871" w:type="dxa"/>
          </w:tcPr>
          <w:p w14:paraId="6C0CB9D8" w14:textId="7D26C56A" w:rsidR="00E06C78" w:rsidRPr="00FF2BE9" w:rsidRDefault="00E06C78" w:rsidP="00E06C78">
            <w:pPr>
              <w:pStyle w:val="TableSideHeading"/>
              <w:keepLines w:val="0"/>
            </w:pPr>
            <w:r w:rsidRPr="00FF2BE9">
              <w:rPr>
                <w:sz w:val="26"/>
                <w:rtl/>
              </w:rPr>
              <w:t xml:space="preserve">תיקון </w:t>
            </w:r>
            <w:r w:rsidRPr="00FF2BE9">
              <w:rPr>
                <w:rFonts w:hint="cs"/>
                <w:sz w:val="26"/>
                <w:rtl/>
              </w:rPr>
              <w:t>סעיף 11</w:t>
            </w:r>
          </w:p>
        </w:tc>
        <w:tc>
          <w:tcPr>
            <w:tcW w:w="624" w:type="dxa"/>
          </w:tcPr>
          <w:p w14:paraId="3F4286A2" w14:textId="5C9981A0" w:rsidR="00E06C78" w:rsidRPr="00FF2BE9" w:rsidRDefault="00B776BE" w:rsidP="00E06C78">
            <w:pPr>
              <w:pStyle w:val="TableText"/>
              <w:keepLines w:val="0"/>
            </w:pPr>
            <w:r w:rsidRPr="00FF2BE9"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  <w:gridSpan w:val="3"/>
          </w:tcPr>
          <w:p w14:paraId="7633D5BB" w14:textId="16D53B4F" w:rsidR="00E06C78" w:rsidRPr="00FF2BE9" w:rsidRDefault="00E06C78" w:rsidP="001D0B2E">
            <w:pPr>
              <w:pStyle w:val="TableBlock"/>
              <w:keepLines w:val="0"/>
            </w:pPr>
            <w:r w:rsidRPr="00FF2BE9">
              <w:rPr>
                <w:sz w:val="26"/>
                <w:rtl/>
              </w:rPr>
              <w:t xml:space="preserve">בחוק הכניסה לישראל, </w:t>
            </w:r>
            <w:proofErr w:type="spellStart"/>
            <w:r w:rsidRPr="00FF2BE9">
              <w:rPr>
                <w:sz w:val="26"/>
                <w:rtl/>
              </w:rPr>
              <w:t>התשי"ב</w:t>
            </w:r>
            <w:proofErr w:type="spellEnd"/>
            <w:r w:rsidRPr="00FF2BE9">
              <w:rPr>
                <w:sz w:val="26"/>
                <w:rtl/>
              </w:rPr>
              <w:t>–1952</w:t>
            </w:r>
            <w:r w:rsidRPr="00FF2BE9">
              <w:rPr>
                <w:rStyle w:val="a6"/>
                <w:sz w:val="24"/>
                <w:szCs w:val="24"/>
                <w:rtl/>
              </w:rPr>
              <w:footnoteReference w:id="2"/>
            </w:r>
            <w:r w:rsidR="00B776BE" w:rsidRPr="00FF2BE9">
              <w:rPr>
                <w:rFonts w:hint="cs"/>
                <w:sz w:val="26"/>
                <w:rtl/>
              </w:rPr>
              <w:t>,</w:t>
            </w:r>
            <w:r w:rsidRPr="00FF2BE9">
              <w:rPr>
                <w:sz w:val="26"/>
                <w:rtl/>
              </w:rPr>
              <w:t xml:space="preserve"> </w:t>
            </w:r>
            <w:r w:rsidR="001D0B2E" w:rsidRPr="00FF2BE9">
              <w:rPr>
                <w:rFonts w:hint="cs"/>
                <w:sz w:val="26"/>
                <w:rtl/>
              </w:rPr>
              <w:t>ב</w:t>
            </w:r>
            <w:r w:rsidR="000C6F55" w:rsidRPr="00FF2BE9">
              <w:rPr>
                <w:sz w:val="26"/>
                <w:rtl/>
              </w:rPr>
              <w:t>סעיף 11</w:t>
            </w:r>
            <w:r w:rsidR="00B776BE" w:rsidRPr="00FF2BE9">
              <w:rPr>
                <w:rFonts w:hint="cs"/>
                <w:sz w:val="26"/>
                <w:rtl/>
              </w:rPr>
              <w:t xml:space="preserve"> </w:t>
            </w:r>
            <w:r w:rsidR="00B776BE" w:rsidRPr="00FF2BE9">
              <w:rPr>
                <w:rFonts w:hint="eastAsia"/>
                <w:sz w:val="26"/>
                <w:rtl/>
              </w:rPr>
              <w:t xml:space="preserve">– </w:t>
            </w:r>
          </w:p>
        </w:tc>
      </w:tr>
      <w:tr w:rsidR="00B776BE" w:rsidRPr="00FF2BE9" w14:paraId="7614297C" w14:textId="77777777" w:rsidTr="002C3041">
        <w:trPr>
          <w:cantSplit/>
          <w:trHeight w:val="60"/>
        </w:trPr>
        <w:tc>
          <w:tcPr>
            <w:tcW w:w="1871" w:type="dxa"/>
          </w:tcPr>
          <w:p w14:paraId="3E5A65C7" w14:textId="77777777" w:rsidR="00B776BE" w:rsidRPr="00FF2BE9" w:rsidRDefault="00B776BE" w:rsidP="00E06C7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2CFF59C3" w14:textId="77777777" w:rsidR="00B776BE" w:rsidRPr="00FF2BE9" w:rsidRDefault="00B776BE" w:rsidP="00191CEF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3"/>
          </w:tcPr>
          <w:p w14:paraId="5B2358D7" w14:textId="798CFB25" w:rsidR="00B776BE" w:rsidRPr="00FF2BE9" w:rsidRDefault="00B776BE" w:rsidP="00191CEF">
            <w:pPr>
              <w:pStyle w:val="TableBlock"/>
              <w:keepLines w:val="0"/>
              <w:rPr>
                <w:sz w:val="26"/>
                <w:rtl/>
              </w:rPr>
            </w:pPr>
            <w:r w:rsidRPr="00FF2BE9">
              <w:rPr>
                <w:rFonts w:hint="cs"/>
                <w:sz w:val="26"/>
                <w:rtl/>
              </w:rPr>
              <w:t>(1)</w:t>
            </w:r>
            <w:r w:rsidRPr="00FF2BE9">
              <w:rPr>
                <w:sz w:val="26"/>
                <w:rtl/>
              </w:rPr>
              <w:tab/>
            </w:r>
            <w:r w:rsidRPr="00FF2BE9">
              <w:rPr>
                <w:rFonts w:hint="cs"/>
                <w:sz w:val="26"/>
                <w:rtl/>
              </w:rPr>
              <w:t xml:space="preserve">בסעיף קטן (א)(2), אחרי "לפי חוק זה" </w:t>
            </w:r>
            <w:r w:rsidRPr="00FF2BE9">
              <w:rPr>
                <w:sz w:val="26"/>
                <w:rtl/>
              </w:rPr>
              <w:t>יבוא</w:t>
            </w:r>
            <w:r w:rsidRPr="00FF2BE9">
              <w:rPr>
                <w:rFonts w:hint="cs"/>
                <w:sz w:val="26"/>
                <w:rtl/>
              </w:rPr>
              <w:t xml:space="preserve"> "</w:t>
            </w:r>
            <w:r w:rsidR="00CC3B0B" w:rsidRPr="00FF2BE9">
              <w:rPr>
                <w:rFonts w:hint="cs"/>
                <w:sz w:val="26"/>
                <w:rtl/>
              </w:rPr>
              <w:t>ובכלל זה רישיון לישיבת קבע</w:t>
            </w:r>
            <w:r w:rsidRPr="00FF2BE9">
              <w:rPr>
                <w:rFonts w:hint="cs"/>
                <w:sz w:val="26"/>
                <w:rtl/>
              </w:rPr>
              <w:t xml:space="preserve"> שניתן שלא בדרך של כניסה לישראל, לרבות של תושבי מזרח ירושלים ורמת הגולן"</w:t>
            </w:r>
            <w:r w:rsidR="00271131">
              <w:rPr>
                <w:rFonts w:hint="cs"/>
                <w:sz w:val="26"/>
                <w:rtl/>
              </w:rPr>
              <w:t>;</w:t>
            </w:r>
          </w:p>
        </w:tc>
      </w:tr>
      <w:tr w:rsidR="00B776BE" w:rsidRPr="00FF2BE9" w14:paraId="552FC3EA" w14:textId="77777777" w:rsidTr="002C3041">
        <w:trPr>
          <w:cantSplit/>
          <w:trHeight w:val="60"/>
        </w:trPr>
        <w:tc>
          <w:tcPr>
            <w:tcW w:w="1871" w:type="dxa"/>
          </w:tcPr>
          <w:p w14:paraId="32112E2A" w14:textId="77777777" w:rsidR="00B776BE" w:rsidRPr="00FF2BE9" w:rsidRDefault="00B776BE" w:rsidP="00E06C7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5824C6F1" w14:textId="77777777" w:rsidR="00B776BE" w:rsidRPr="00FF2BE9" w:rsidRDefault="00B776BE" w:rsidP="00191CEF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3"/>
          </w:tcPr>
          <w:p w14:paraId="15F0E28C" w14:textId="2AFD5F38" w:rsidR="00B776BE" w:rsidRPr="00FF2BE9" w:rsidRDefault="00B776BE" w:rsidP="00B776BE">
            <w:pPr>
              <w:pStyle w:val="TableBlock"/>
              <w:keepLines w:val="0"/>
              <w:rPr>
                <w:sz w:val="26"/>
                <w:rtl/>
              </w:rPr>
            </w:pPr>
            <w:r w:rsidRPr="00FF2BE9">
              <w:rPr>
                <w:rFonts w:hint="cs"/>
                <w:sz w:val="26"/>
                <w:rtl/>
              </w:rPr>
              <w:t>(2)</w:t>
            </w:r>
            <w:r w:rsidRPr="00FF2BE9">
              <w:rPr>
                <w:sz w:val="26"/>
                <w:rtl/>
              </w:rPr>
              <w:tab/>
            </w:r>
            <w:r w:rsidRPr="00FF2BE9">
              <w:rPr>
                <w:rFonts w:hint="cs"/>
                <w:sz w:val="26"/>
                <w:rtl/>
              </w:rPr>
              <w:t>אחרי פסקה (2) יבוא:</w:t>
            </w:r>
          </w:p>
        </w:tc>
      </w:tr>
      <w:tr w:rsidR="001D0B2E" w:rsidRPr="00FF2BE9" w14:paraId="1D821FD9" w14:textId="77777777">
        <w:trPr>
          <w:cantSplit/>
          <w:trHeight w:val="60"/>
        </w:trPr>
        <w:tc>
          <w:tcPr>
            <w:tcW w:w="1871" w:type="dxa"/>
          </w:tcPr>
          <w:p w14:paraId="266F0F25" w14:textId="6404F792" w:rsidR="001D0B2E" w:rsidRPr="00FF2BE9" w:rsidDel="001D0B2E" w:rsidRDefault="001D0B2E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0DA4B8D0" w14:textId="77777777" w:rsidR="001D0B2E" w:rsidRPr="00FF2BE9" w:rsidRDefault="001D0B2E" w:rsidP="00191CEF">
            <w:pPr>
              <w:pStyle w:val="TableText"/>
            </w:pPr>
          </w:p>
        </w:tc>
        <w:tc>
          <w:tcPr>
            <w:tcW w:w="624" w:type="dxa"/>
          </w:tcPr>
          <w:p w14:paraId="0352CA26" w14:textId="1B41380C" w:rsidR="001D0B2E" w:rsidRPr="00FF2BE9" w:rsidRDefault="001D0B2E">
            <w:pPr>
              <w:pStyle w:val="TableText"/>
            </w:pPr>
          </w:p>
        </w:tc>
        <w:tc>
          <w:tcPr>
            <w:tcW w:w="6522" w:type="dxa"/>
            <w:gridSpan w:val="2"/>
          </w:tcPr>
          <w:p w14:paraId="1A21CB54" w14:textId="58C6E9C1" w:rsidR="001D0B2E" w:rsidRPr="00FF2BE9" w:rsidRDefault="00B776BE" w:rsidP="00271131">
            <w:pPr>
              <w:pStyle w:val="TableBlock"/>
              <w:rPr>
                <w:sz w:val="26"/>
                <w:rtl/>
              </w:rPr>
            </w:pPr>
            <w:r w:rsidRPr="00FF2BE9">
              <w:rPr>
                <w:rFonts w:hint="cs"/>
                <w:sz w:val="26"/>
                <w:rtl/>
              </w:rPr>
              <w:t>"</w:t>
            </w:r>
            <w:r w:rsidR="001D0B2E" w:rsidRPr="00FF2BE9">
              <w:rPr>
                <w:rFonts w:hint="cs"/>
                <w:sz w:val="26"/>
                <w:rtl/>
              </w:rPr>
              <w:t>(</w:t>
            </w:r>
            <w:r w:rsidRPr="00FF2BE9">
              <w:rPr>
                <w:rFonts w:hint="cs"/>
                <w:sz w:val="26"/>
                <w:rtl/>
              </w:rPr>
              <w:t>3</w:t>
            </w:r>
            <w:r w:rsidR="001D0B2E" w:rsidRPr="00FF2BE9">
              <w:rPr>
                <w:rFonts w:hint="cs"/>
                <w:sz w:val="26"/>
                <w:rtl/>
              </w:rPr>
              <w:t xml:space="preserve">)     מבלי לגרוע מסמכויותיו </w:t>
            </w:r>
            <w:r w:rsidR="008D6FA8" w:rsidRPr="00FF2BE9">
              <w:rPr>
                <w:rFonts w:hint="cs"/>
                <w:sz w:val="26"/>
                <w:rtl/>
              </w:rPr>
              <w:t xml:space="preserve">כאמור </w:t>
            </w:r>
            <w:r w:rsidRPr="00FF2BE9">
              <w:rPr>
                <w:rFonts w:hint="cs"/>
                <w:sz w:val="26"/>
                <w:rtl/>
              </w:rPr>
              <w:t>בפסקאות</w:t>
            </w:r>
            <w:r w:rsidR="008D6FA8" w:rsidRPr="00FF2BE9">
              <w:rPr>
                <w:rFonts w:hint="cs"/>
                <w:sz w:val="26"/>
                <w:rtl/>
              </w:rPr>
              <w:t xml:space="preserve"> (1)</w:t>
            </w:r>
            <w:r w:rsidRPr="00FF2BE9">
              <w:rPr>
                <w:rFonts w:hint="cs"/>
                <w:sz w:val="26"/>
                <w:rtl/>
              </w:rPr>
              <w:t xml:space="preserve"> ו-(2)</w:t>
            </w:r>
            <w:r w:rsidR="008D6FA8" w:rsidRPr="00FF2BE9">
              <w:rPr>
                <w:rFonts w:hint="cs"/>
                <w:sz w:val="26"/>
                <w:rtl/>
              </w:rPr>
              <w:t xml:space="preserve">, לבטל אשרה </w:t>
            </w:r>
            <w:r w:rsidR="001D0B2E" w:rsidRPr="00FF2BE9">
              <w:rPr>
                <w:rFonts w:hint="cs"/>
                <w:sz w:val="26"/>
                <w:rtl/>
              </w:rPr>
              <w:t>או ר</w:t>
            </w:r>
            <w:r w:rsidR="008D6FA8" w:rsidRPr="00FF2BE9">
              <w:rPr>
                <w:rFonts w:hint="cs"/>
                <w:sz w:val="26"/>
                <w:rtl/>
              </w:rPr>
              <w:t>י</w:t>
            </w:r>
            <w:r w:rsidR="001D0B2E" w:rsidRPr="00FF2BE9">
              <w:rPr>
                <w:rFonts w:hint="cs"/>
                <w:sz w:val="26"/>
                <w:rtl/>
              </w:rPr>
              <w:t xml:space="preserve">שיון לישיבת קבע של מי </w:t>
            </w:r>
            <w:r w:rsidR="008D6FA8" w:rsidRPr="00FF2BE9">
              <w:rPr>
                <w:rFonts w:hint="cs"/>
                <w:sz w:val="26"/>
                <w:rtl/>
              </w:rPr>
              <w:t>שלדעתו</w:t>
            </w:r>
            <w:r w:rsidR="001D0B2E" w:rsidRPr="00FF2BE9">
              <w:rPr>
                <w:sz w:val="26"/>
                <w:rtl/>
              </w:rPr>
              <w:t xml:space="preserve"> עשה מעשה שיש בו משום הפרת אמונים למדינת ישרא</w:t>
            </w:r>
            <w:r w:rsidR="001D0B2E" w:rsidRPr="00FF2BE9">
              <w:rPr>
                <w:rFonts w:hint="cs"/>
                <w:sz w:val="26"/>
                <w:rtl/>
              </w:rPr>
              <w:t>ל</w:t>
            </w:r>
            <w:r w:rsidR="009F1742" w:rsidRPr="00FF2BE9">
              <w:rPr>
                <w:rFonts w:hint="cs"/>
                <w:sz w:val="26"/>
                <w:rtl/>
              </w:rPr>
              <w:t xml:space="preserve">; </w:t>
            </w:r>
            <w:r w:rsidR="009F1742" w:rsidRPr="00FF2BE9">
              <w:rPr>
                <w:rFonts w:hint="eastAsia"/>
                <w:sz w:val="26"/>
                <w:rtl/>
              </w:rPr>
              <w:t>בפסקה</w:t>
            </w:r>
            <w:r w:rsidR="009F1742" w:rsidRPr="00FF2BE9">
              <w:rPr>
                <w:sz w:val="26"/>
                <w:rtl/>
              </w:rPr>
              <w:t xml:space="preserve"> </w:t>
            </w:r>
            <w:r w:rsidR="009F1742" w:rsidRPr="00FF2BE9">
              <w:rPr>
                <w:rFonts w:hint="eastAsia"/>
                <w:sz w:val="26"/>
                <w:rtl/>
              </w:rPr>
              <w:t>זו</w:t>
            </w:r>
            <w:r w:rsidR="009F1742" w:rsidRPr="00FF2BE9">
              <w:rPr>
                <w:sz w:val="26"/>
                <w:rtl/>
              </w:rPr>
              <w:t xml:space="preserve">, "הפרת </w:t>
            </w:r>
            <w:r w:rsidR="009F1742" w:rsidRPr="00FF2BE9">
              <w:rPr>
                <w:rFonts w:hint="eastAsia"/>
                <w:sz w:val="26"/>
                <w:rtl/>
              </w:rPr>
              <w:t>אמונים</w:t>
            </w:r>
            <w:r w:rsidR="009F1742" w:rsidRPr="00FF2BE9">
              <w:rPr>
                <w:sz w:val="26"/>
                <w:rtl/>
              </w:rPr>
              <w:t xml:space="preserve"> </w:t>
            </w:r>
            <w:r w:rsidR="009F1742" w:rsidRPr="00FF2BE9">
              <w:rPr>
                <w:rFonts w:hint="eastAsia"/>
                <w:sz w:val="26"/>
                <w:rtl/>
              </w:rPr>
              <w:t>למדינת</w:t>
            </w:r>
            <w:r w:rsidR="009F1742" w:rsidRPr="00FF2BE9">
              <w:rPr>
                <w:sz w:val="26"/>
                <w:rtl/>
              </w:rPr>
              <w:t xml:space="preserve"> </w:t>
            </w:r>
            <w:r w:rsidR="009F1742" w:rsidRPr="00FF2BE9">
              <w:rPr>
                <w:rFonts w:hint="eastAsia"/>
                <w:sz w:val="26"/>
                <w:rtl/>
              </w:rPr>
              <w:t>ישראל</w:t>
            </w:r>
            <w:r w:rsidR="009F1742" w:rsidRPr="00FF2BE9">
              <w:rPr>
                <w:sz w:val="26"/>
                <w:rtl/>
              </w:rPr>
              <w:t xml:space="preserve">" </w:t>
            </w:r>
            <w:r w:rsidR="009F1742" w:rsidRPr="00FF2BE9">
              <w:rPr>
                <w:rFonts w:hint="eastAsia"/>
                <w:sz w:val="26"/>
                <w:rtl/>
              </w:rPr>
              <w:t>–</w:t>
            </w:r>
            <w:r w:rsidR="009F1742" w:rsidRPr="00FF2BE9">
              <w:rPr>
                <w:sz w:val="26"/>
                <w:rtl/>
              </w:rPr>
              <w:t xml:space="preserve"> כל אחד מאלה</w:t>
            </w:r>
            <w:r w:rsidR="009F1742" w:rsidRPr="00FF2BE9">
              <w:rPr>
                <w:rFonts w:hint="cs"/>
                <w:sz w:val="26"/>
                <w:rtl/>
              </w:rPr>
              <w:t>:</w:t>
            </w:r>
          </w:p>
        </w:tc>
      </w:tr>
      <w:tr w:rsidR="00A748E2" w:rsidRPr="00FF2BE9" w14:paraId="1C855620" w14:textId="77777777">
        <w:trPr>
          <w:cantSplit/>
          <w:trHeight w:val="60"/>
        </w:trPr>
        <w:tc>
          <w:tcPr>
            <w:tcW w:w="1871" w:type="dxa"/>
          </w:tcPr>
          <w:p w14:paraId="46DA7218" w14:textId="315084CB" w:rsidR="00A748E2" w:rsidRPr="00FF2BE9" w:rsidRDefault="00A748E2">
            <w:pPr>
              <w:pStyle w:val="TableSideHeading"/>
            </w:pPr>
          </w:p>
        </w:tc>
        <w:tc>
          <w:tcPr>
            <w:tcW w:w="624" w:type="dxa"/>
          </w:tcPr>
          <w:p w14:paraId="4557DBE2" w14:textId="77777777" w:rsidR="00A748E2" w:rsidRPr="00FF2BE9" w:rsidRDefault="00A748E2">
            <w:pPr>
              <w:pStyle w:val="TableText"/>
            </w:pPr>
          </w:p>
        </w:tc>
        <w:tc>
          <w:tcPr>
            <w:tcW w:w="624" w:type="dxa"/>
          </w:tcPr>
          <w:p w14:paraId="569B4CC9" w14:textId="77777777" w:rsidR="00A748E2" w:rsidRPr="00FF2BE9" w:rsidRDefault="00A748E2">
            <w:pPr>
              <w:pStyle w:val="TableText"/>
            </w:pPr>
          </w:p>
        </w:tc>
        <w:tc>
          <w:tcPr>
            <w:tcW w:w="624" w:type="dxa"/>
          </w:tcPr>
          <w:p w14:paraId="1EDD9323" w14:textId="77777777" w:rsidR="00A748E2" w:rsidRPr="00FF2BE9" w:rsidRDefault="00A748E2">
            <w:pPr>
              <w:pStyle w:val="TableText"/>
            </w:pPr>
          </w:p>
        </w:tc>
        <w:tc>
          <w:tcPr>
            <w:tcW w:w="5898" w:type="dxa"/>
          </w:tcPr>
          <w:p w14:paraId="35627092" w14:textId="5AB4EED6" w:rsidR="00A748E2" w:rsidRPr="00FF2BE9" w:rsidRDefault="00A748E2" w:rsidP="00221AA9">
            <w:pPr>
              <w:pStyle w:val="TableBlock"/>
            </w:pPr>
            <w:r w:rsidRPr="00FF2BE9">
              <w:rPr>
                <w:sz w:val="26"/>
                <w:rtl/>
              </w:rPr>
              <w:t>(</w:t>
            </w:r>
            <w:r w:rsidRPr="00FF2BE9">
              <w:rPr>
                <w:rFonts w:hint="cs"/>
                <w:sz w:val="26"/>
                <w:rtl/>
              </w:rPr>
              <w:t>1</w:t>
            </w:r>
            <w:r w:rsidRPr="00FF2BE9">
              <w:rPr>
                <w:sz w:val="26"/>
                <w:rtl/>
              </w:rPr>
              <w:t>)</w:t>
            </w:r>
            <w:r w:rsidRPr="00FF2BE9">
              <w:rPr>
                <w:sz w:val="26"/>
                <w:rtl/>
              </w:rPr>
              <w:tab/>
              <w:t xml:space="preserve">מעשה טרור כהגדרתו בחוק המאבק בטרור, </w:t>
            </w:r>
            <w:proofErr w:type="spellStart"/>
            <w:r w:rsidRPr="00FF2BE9">
              <w:rPr>
                <w:sz w:val="26"/>
                <w:rtl/>
              </w:rPr>
              <w:t>התשע"ו</w:t>
            </w:r>
            <w:proofErr w:type="spellEnd"/>
            <w:r w:rsidR="00173C13" w:rsidRPr="00FF2BE9">
              <w:rPr>
                <w:rFonts w:hint="cs"/>
                <w:sz w:val="26"/>
                <w:rtl/>
              </w:rPr>
              <w:t>–</w:t>
            </w:r>
            <w:r w:rsidRPr="00FF2BE9">
              <w:rPr>
                <w:sz w:val="26"/>
                <w:rtl/>
              </w:rPr>
              <w:t>2016</w:t>
            </w:r>
            <w:r w:rsidR="008752A7" w:rsidRPr="00FF2BE9">
              <w:rPr>
                <w:rStyle w:val="a6"/>
                <w:sz w:val="26"/>
                <w:rtl/>
              </w:rPr>
              <w:footnoteReference w:id="3"/>
            </w:r>
            <w:r w:rsidRPr="00FF2BE9">
              <w:rPr>
                <w:sz w:val="26"/>
                <w:rtl/>
              </w:rPr>
              <w:t>, סיוע</w:t>
            </w:r>
            <w:r w:rsidRPr="00FF2BE9">
              <w:rPr>
                <w:rFonts w:hint="cs"/>
                <w:sz w:val="26"/>
                <w:rtl/>
              </w:rPr>
              <w:t>, ניסיון</w:t>
            </w:r>
            <w:r w:rsidRPr="00FF2BE9">
              <w:rPr>
                <w:sz w:val="26"/>
                <w:rtl/>
              </w:rPr>
              <w:t xml:space="preserve"> או שידול למעשה כאמור, או נטילת חלק פעיל בארגון טרור או בארגון טרור מוכרז כהגדרתם בחוק האמור</w:t>
            </w:r>
            <w:r w:rsidRPr="00FF2BE9">
              <w:rPr>
                <w:rFonts w:hint="cs"/>
                <w:sz w:val="26"/>
                <w:rtl/>
              </w:rPr>
              <w:t>, לרבות במפלגה או ארגון פוליטי המסונפים אליו</w:t>
            </w:r>
            <w:r w:rsidRPr="00FF2BE9">
              <w:rPr>
                <w:sz w:val="26"/>
                <w:rtl/>
              </w:rPr>
              <w:t>;</w:t>
            </w:r>
          </w:p>
        </w:tc>
      </w:tr>
      <w:tr w:rsidR="00A748E2" w:rsidRPr="00FF2BE9" w14:paraId="218DCCBE" w14:textId="77777777">
        <w:trPr>
          <w:cantSplit/>
          <w:trHeight w:val="60"/>
        </w:trPr>
        <w:tc>
          <w:tcPr>
            <w:tcW w:w="1871" w:type="dxa"/>
          </w:tcPr>
          <w:p w14:paraId="0759C3C3" w14:textId="77777777" w:rsidR="00A748E2" w:rsidRPr="00FF2BE9" w:rsidDel="00A748E2" w:rsidRDefault="00A748E2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19B7C5F1" w14:textId="77777777" w:rsidR="00A748E2" w:rsidRPr="00FF2BE9" w:rsidRDefault="00A748E2" w:rsidP="00191CEF">
            <w:pPr>
              <w:pStyle w:val="TableText"/>
            </w:pPr>
          </w:p>
        </w:tc>
        <w:tc>
          <w:tcPr>
            <w:tcW w:w="624" w:type="dxa"/>
          </w:tcPr>
          <w:p w14:paraId="3A316792" w14:textId="77777777" w:rsidR="00A748E2" w:rsidRPr="00FF2BE9" w:rsidRDefault="00A748E2">
            <w:pPr>
              <w:pStyle w:val="TableText"/>
            </w:pPr>
          </w:p>
        </w:tc>
        <w:tc>
          <w:tcPr>
            <w:tcW w:w="624" w:type="dxa"/>
          </w:tcPr>
          <w:p w14:paraId="145F2EA6" w14:textId="77777777" w:rsidR="00A748E2" w:rsidRPr="00FF2BE9" w:rsidRDefault="00A748E2">
            <w:pPr>
              <w:pStyle w:val="TableText"/>
            </w:pPr>
          </w:p>
        </w:tc>
        <w:tc>
          <w:tcPr>
            <w:tcW w:w="5898" w:type="dxa"/>
          </w:tcPr>
          <w:p w14:paraId="228D4B48" w14:textId="34399786" w:rsidR="00A748E2" w:rsidRPr="00FF2BE9" w:rsidRDefault="00A748E2" w:rsidP="00271131">
            <w:pPr>
              <w:pStyle w:val="TableBlock"/>
              <w:rPr>
                <w:sz w:val="26"/>
                <w:rtl/>
              </w:rPr>
            </w:pPr>
            <w:r w:rsidRPr="00FF2BE9">
              <w:rPr>
                <w:sz w:val="26"/>
                <w:rtl/>
              </w:rPr>
              <w:t>(</w:t>
            </w:r>
            <w:r w:rsidRPr="00FF2BE9">
              <w:rPr>
                <w:rFonts w:hint="cs"/>
                <w:sz w:val="26"/>
                <w:rtl/>
              </w:rPr>
              <w:t>2</w:t>
            </w:r>
            <w:r w:rsidRPr="00FF2BE9">
              <w:rPr>
                <w:sz w:val="26"/>
                <w:rtl/>
              </w:rPr>
              <w:t>)</w:t>
            </w:r>
            <w:r w:rsidRPr="00FF2BE9">
              <w:rPr>
                <w:sz w:val="26"/>
                <w:rtl/>
              </w:rPr>
              <w:tab/>
              <w:t xml:space="preserve">מעשה המהווה בגידה לפי סעיפים 97 עד 99 לחוק העונשין, </w:t>
            </w:r>
            <w:proofErr w:type="spellStart"/>
            <w:r w:rsidRPr="00FF2BE9">
              <w:rPr>
                <w:sz w:val="26"/>
                <w:rtl/>
              </w:rPr>
              <w:t>התשל"ז</w:t>
            </w:r>
            <w:proofErr w:type="spellEnd"/>
            <w:r w:rsidR="008752A7" w:rsidRPr="00FF2BE9">
              <w:rPr>
                <w:rFonts w:hint="cs"/>
                <w:sz w:val="26"/>
                <w:rtl/>
              </w:rPr>
              <w:t>–</w:t>
            </w:r>
            <w:r w:rsidRPr="00FF2BE9">
              <w:rPr>
                <w:sz w:val="26"/>
                <w:rtl/>
              </w:rPr>
              <w:t>1977</w:t>
            </w:r>
            <w:r w:rsidR="008752A7" w:rsidRPr="00FF2BE9">
              <w:rPr>
                <w:rStyle w:val="a6"/>
                <w:sz w:val="26"/>
                <w:rtl/>
              </w:rPr>
              <w:footnoteReference w:id="4"/>
            </w:r>
            <w:r w:rsidR="00271131">
              <w:rPr>
                <w:rFonts w:hint="cs"/>
                <w:sz w:val="26"/>
                <w:rtl/>
              </w:rPr>
              <w:t xml:space="preserve">, </w:t>
            </w:r>
            <w:r w:rsidRPr="00FF2BE9">
              <w:rPr>
                <w:sz w:val="26"/>
                <w:rtl/>
              </w:rPr>
              <w:t>או ריגול חמור לפי סעיף 113(ב) לחוק האמור;</w:t>
            </w:r>
          </w:p>
        </w:tc>
      </w:tr>
      <w:tr w:rsidR="00A748E2" w:rsidRPr="00FF2BE9" w14:paraId="727418D4" w14:textId="77777777">
        <w:trPr>
          <w:cantSplit/>
          <w:trHeight w:val="60"/>
        </w:trPr>
        <w:tc>
          <w:tcPr>
            <w:tcW w:w="1871" w:type="dxa"/>
          </w:tcPr>
          <w:p w14:paraId="24DF6698" w14:textId="1AEA25D4" w:rsidR="00A748E2" w:rsidRPr="00FF2BE9" w:rsidRDefault="00A748E2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296F92D0" w14:textId="77777777" w:rsidR="00A748E2" w:rsidRPr="00FF2BE9" w:rsidRDefault="00A748E2" w:rsidP="00191CEF">
            <w:pPr>
              <w:pStyle w:val="TableText"/>
            </w:pPr>
          </w:p>
        </w:tc>
        <w:tc>
          <w:tcPr>
            <w:tcW w:w="624" w:type="dxa"/>
          </w:tcPr>
          <w:p w14:paraId="385FF4E1" w14:textId="77777777" w:rsidR="00A748E2" w:rsidRPr="00FF2BE9" w:rsidRDefault="00A748E2">
            <w:pPr>
              <w:pStyle w:val="TableText"/>
            </w:pPr>
          </w:p>
        </w:tc>
        <w:tc>
          <w:tcPr>
            <w:tcW w:w="624" w:type="dxa"/>
          </w:tcPr>
          <w:p w14:paraId="544221DF" w14:textId="77777777" w:rsidR="00A748E2" w:rsidRPr="00FF2BE9" w:rsidRDefault="00A748E2">
            <w:pPr>
              <w:pStyle w:val="TableText"/>
            </w:pPr>
          </w:p>
        </w:tc>
        <w:tc>
          <w:tcPr>
            <w:tcW w:w="5898" w:type="dxa"/>
          </w:tcPr>
          <w:p w14:paraId="081A4274" w14:textId="35A2055D" w:rsidR="00A748E2" w:rsidRPr="00FF2BE9" w:rsidRDefault="00A748E2" w:rsidP="00191CEF">
            <w:pPr>
              <w:pStyle w:val="TableBlock"/>
              <w:rPr>
                <w:sz w:val="26"/>
                <w:rtl/>
              </w:rPr>
            </w:pPr>
            <w:r w:rsidRPr="00FF2BE9">
              <w:rPr>
                <w:rFonts w:hint="cs"/>
                <w:sz w:val="26"/>
                <w:rtl/>
              </w:rPr>
              <w:t>(3)</w:t>
            </w:r>
            <w:r w:rsidRPr="00FF2BE9">
              <w:rPr>
                <w:sz w:val="26"/>
                <w:rtl/>
              </w:rPr>
              <w:tab/>
              <w:t>רכישת אזרחות או זכות לישיבת קבע במדינה או בשטח המנויים בתוספת</w:t>
            </w:r>
            <w:r w:rsidRPr="00FF2BE9">
              <w:rPr>
                <w:rFonts w:hint="cs"/>
                <w:sz w:val="26"/>
                <w:rtl/>
              </w:rPr>
              <w:t xml:space="preserve"> ל</w:t>
            </w:r>
            <w:r w:rsidRPr="00FF2BE9">
              <w:rPr>
                <w:sz w:val="26"/>
                <w:rtl/>
              </w:rPr>
              <w:t xml:space="preserve">חוק האזרחות, </w:t>
            </w:r>
            <w:proofErr w:type="spellStart"/>
            <w:r w:rsidRPr="00FF2BE9">
              <w:rPr>
                <w:sz w:val="26"/>
                <w:rtl/>
              </w:rPr>
              <w:t>התשי"ב</w:t>
            </w:r>
            <w:proofErr w:type="spellEnd"/>
            <w:r w:rsidR="008752A7" w:rsidRPr="00FF2BE9">
              <w:rPr>
                <w:rFonts w:hint="cs"/>
                <w:sz w:val="26"/>
                <w:rtl/>
              </w:rPr>
              <w:t>–</w:t>
            </w:r>
            <w:r w:rsidRPr="00FF2BE9">
              <w:rPr>
                <w:sz w:val="26"/>
                <w:rtl/>
              </w:rPr>
              <w:t>1952</w:t>
            </w:r>
            <w:r w:rsidR="008752A7" w:rsidRPr="00FF2BE9">
              <w:rPr>
                <w:rStyle w:val="a6"/>
                <w:sz w:val="26"/>
                <w:rtl/>
              </w:rPr>
              <w:footnoteReference w:id="5"/>
            </w:r>
            <w:r w:rsidRPr="00FF2BE9">
              <w:rPr>
                <w:rFonts w:hint="cs"/>
                <w:sz w:val="26"/>
                <w:rtl/>
              </w:rPr>
              <w:t>."</w:t>
            </w:r>
          </w:p>
        </w:tc>
      </w:tr>
    </w:tbl>
    <w:p w14:paraId="7F6961CA" w14:textId="77777777" w:rsidR="002D1EE3" w:rsidRPr="00FF2BE9" w:rsidRDefault="002D1EE3" w:rsidP="002D1EE3">
      <w:pPr>
        <w:pStyle w:val="HeadDivreiHesber"/>
        <w:rPr>
          <w:rtl/>
        </w:rPr>
      </w:pPr>
      <w:r w:rsidRPr="00FF2BE9">
        <w:rPr>
          <w:rFonts w:hint="cs"/>
          <w:rtl/>
        </w:rPr>
        <w:t>דברי הסבר</w:t>
      </w:r>
    </w:p>
    <w:p w14:paraId="09EFE3FD" w14:textId="0489085E" w:rsidR="00BD2858" w:rsidRPr="00094F93" w:rsidRDefault="00E40EDC" w:rsidP="00271131">
      <w:pPr>
        <w:pStyle w:val="Hesber"/>
        <w:rPr>
          <w:rtl/>
        </w:rPr>
      </w:pPr>
      <w:r w:rsidRPr="00094F93">
        <w:rPr>
          <w:rFonts w:hint="cs"/>
          <w:rtl/>
        </w:rPr>
        <w:t>חוק הכניסה</w:t>
      </w:r>
      <w:r w:rsidR="00BD2858" w:rsidRPr="00094F93">
        <w:rPr>
          <w:rFonts w:hint="cs"/>
          <w:rtl/>
        </w:rPr>
        <w:t xml:space="preserve"> לישראל, </w:t>
      </w:r>
      <w:proofErr w:type="spellStart"/>
      <w:r w:rsidR="00BD2858" w:rsidRPr="00094F93">
        <w:rPr>
          <w:rFonts w:hint="cs"/>
          <w:rtl/>
        </w:rPr>
        <w:t>התשי"ב</w:t>
      </w:r>
      <w:proofErr w:type="spellEnd"/>
      <w:r w:rsidR="00817ADD" w:rsidRPr="00094F93">
        <w:rPr>
          <w:rFonts w:hint="eastAsia"/>
          <w:rtl/>
        </w:rPr>
        <w:t>–</w:t>
      </w:r>
      <w:r w:rsidR="00BD2858" w:rsidRPr="00094F93">
        <w:rPr>
          <w:rFonts w:hint="cs"/>
          <w:rtl/>
        </w:rPr>
        <w:t xml:space="preserve">1952, מקנה שיקול דעת מפורש לשר הפנים </w:t>
      </w:r>
      <w:r w:rsidR="00271131">
        <w:rPr>
          <w:rFonts w:hint="cs"/>
          <w:rtl/>
        </w:rPr>
        <w:t xml:space="preserve">לבטל </w:t>
      </w:r>
      <w:r w:rsidR="00BD2858" w:rsidRPr="00094F93">
        <w:rPr>
          <w:rFonts w:hint="cs"/>
          <w:rtl/>
        </w:rPr>
        <w:t>אשרות כניסה ורישיונות לישיבת קבע. למרות זאת,</w:t>
      </w:r>
      <w:r w:rsidR="00271131">
        <w:rPr>
          <w:rFonts w:hint="cs"/>
          <w:rtl/>
        </w:rPr>
        <w:t xml:space="preserve"> קבע בית המשפט העליון ברוב דעות</w:t>
      </w:r>
      <w:r w:rsidR="00BD2858" w:rsidRPr="00094F93">
        <w:rPr>
          <w:rFonts w:hint="cs"/>
          <w:rtl/>
        </w:rPr>
        <w:t xml:space="preserve"> במסגרת בג"צ</w:t>
      </w:r>
      <w:r w:rsidR="00BD2858" w:rsidRPr="00094F93">
        <w:rPr>
          <w:rtl/>
        </w:rPr>
        <w:t xml:space="preserve"> </w:t>
      </w:r>
      <w:r w:rsidR="00BD2858" w:rsidRPr="00271131">
        <w:rPr>
          <w:b/>
          <w:bCs/>
          <w:rtl/>
        </w:rPr>
        <w:t>7803/06 אבו ערפה ואח'</w:t>
      </w:r>
      <w:r w:rsidR="00BD2858" w:rsidRPr="00271131">
        <w:rPr>
          <w:rFonts w:hint="cs"/>
          <w:b/>
          <w:bCs/>
          <w:rtl/>
        </w:rPr>
        <w:t xml:space="preserve"> </w:t>
      </w:r>
      <w:r w:rsidR="00BD2858" w:rsidRPr="00271131">
        <w:rPr>
          <w:b/>
          <w:bCs/>
          <w:rtl/>
        </w:rPr>
        <w:t>נ</w:t>
      </w:r>
      <w:r w:rsidR="00BD2858" w:rsidRPr="00271131">
        <w:rPr>
          <w:rFonts w:hint="cs"/>
          <w:b/>
          <w:bCs/>
          <w:rtl/>
        </w:rPr>
        <w:t>'</w:t>
      </w:r>
      <w:r w:rsidR="00BD2858" w:rsidRPr="00271131">
        <w:rPr>
          <w:b/>
          <w:bCs/>
          <w:rtl/>
        </w:rPr>
        <w:t xml:space="preserve"> שר הפנים</w:t>
      </w:r>
      <w:r w:rsidR="00BD2858" w:rsidRPr="00271131">
        <w:rPr>
          <w:rFonts w:hint="cs"/>
          <w:b/>
          <w:bCs/>
          <w:rtl/>
        </w:rPr>
        <w:t xml:space="preserve"> ואח'</w:t>
      </w:r>
      <w:r w:rsidR="00BD2858" w:rsidRPr="00094F93">
        <w:rPr>
          <w:rFonts w:hint="cs"/>
          <w:rtl/>
        </w:rPr>
        <w:t>, בעניין החלטת שר הפנים בדבר שלילת ר</w:t>
      </w:r>
      <w:r w:rsidR="0028310C" w:rsidRPr="00094F93">
        <w:rPr>
          <w:rFonts w:hint="cs"/>
          <w:rtl/>
        </w:rPr>
        <w:t>י</w:t>
      </w:r>
      <w:r w:rsidR="00BD2858" w:rsidRPr="00094F93">
        <w:rPr>
          <w:rFonts w:hint="cs"/>
          <w:rtl/>
        </w:rPr>
        <w:t xml:space="preserve">שיון ישיבת הקבע של אנשי ארגון חמאס שנבחרו בבחירות ברשות הפלסטינית, כי </w:t>
      </w:r>
      <w:r w:rsidR="00271131">
        <w:rPr>
          <w:rFonts w:hint="cs"/>
          <w:rtl/>
        </w:rPr>
        <w:t>ההסדר האמור</w:t>
      </w:r>
      <w:r w:rsidR="00BD2858" w:rsidRPr="00094F93">
        <w:rPr>
          <w:rFonts w:hint="cs"/>
          <w:rtl/>
        </w:rPr>
        <w:t xml:space="preserve"> </w:t>
      </w:r>
      <w:r w:rsidR="00271131">
        <w:rPr>
          <w:rFonts w:hint="cs"/>
          <w:rtl/>
        </w:rPr>
        <w:t xml:space="preserve">אינו </w:t>
      </w:r>
      <w:r w:rsidR="00BD2858" w:rsidRPr="00094F93">
        <w:rPr>
          <w:rFonts w:hint="cs"/>
          <w:rtl/>
        </w:rPr>
        <w:t>מפורט וספציפי דיו.</w:t>
      </w:r>
    </w:p>
    <w:p w14:paraId="4EB037BA" w14:textId="3E45F875" w:rsidR="000E497B" w:rsidRPr="00094F93" w:rsidRDefault="00FF2BE9" w:rsidP="00271131">
      <w:pPr>
        <w:pStyle w:val="Hesber"/>
        <w:rPr>
          <w:rtl/>
        </w:rPr>
      </w:pPr>
      <w:r w:rsidRPr="00094F93">
        <w:rPr>
          <w:rFonts w:hint="cs"/>
          <w:rtl/>
        </w:rPr>
        <w:t>היעדר</w:t>
      </w:r>
      <w:r w:rsidR="00271131">
        <w:rPr>
          <w:rFonts w:hint="cs"/>
          <w:rtl/>
        </w:rPr>
        <w:t xml:space="preserve"> הפירוט בחוק כנוסחו כיום</w:t>
      </w:r>
      <w:r w:rsidR="000E497B" w:rsidRPr="00094F93">
        <w:rPr>
          <w:rFonts w:hint="cs"/>
          <w:rtl/>
        </w:rPr>
        <w:t xml:space="preserve">, לשיטת בית המשפט העליון הנכבד, בא לידי ביטוי, בין היתר, </w:t>
      </w:r>
      <w:r w:rsidR="00BD2858" w:rsidRPr="00094F93">
        <w:rPr>
          <w:rFonts w:hint="cs"/>
          <w:rtl/>
        </w:rPr>
        <w:t xml:space="preserve">בשני עניינים: </w:t>
      </w:r>
      <w:r w:rsidRPr="00094F93">
        <w:rPr>
          <w:rFonts w:hint="cs"/>
          <w:rtl/>
        </w:rPr>
        <w:t xml:space="preserve">האחד, </w:t>
      </w:r>
      <w:r w:rsidR="000E497B" w:rsidRPr="00094F93">
        <w:rPr>
          <w:rFonts w:hint="cs"/>
          <w:rtl/>
        </w:rPr>
        <w:t>חוסר בהירות, לדעת הרוב</w:t>
      </w:r>
      <w:r w:rsidR="00271131">
        <w:rPr>
          <w:rFonts w:hint="cs"/>
          <w:rtl/>
        </w:rPr>
        <w:t xml:space="preserve"> בפסק הדין</w:t>
      </w:r>
      <w:r w:rsidR="000E497B" w:rsidRPr="00094F93">
        <w:rPr>
          <w:rFonts w:hint="cs"/>
          <w:rtl/>
        </w:rPr>
        <w:t>, באשר לסמכות לשלול</w:t>
      </w:r>
      <w:r w:rsidR="00BD2858" w:rsidRPr="00094F93">
        <w:rPr>
          <w:rFonts w:hint="cs"/>
          <w:rtl/>
        </w:rPr>
        <w:t xml:space="preserve"> אשרות</w:t>
      </w:r>
      <w:r w:rsidRPr="00094F93">
        <w:rPr>
          <w:rFonts w:hint="cs"/>
          <w:rtl/>
        </w:rPr>
        <w:t xml:space="preserve"> </w:t>
      </w:r>
      <w:r w:rsidR="000E497B" w:rsidRPr="00094F93">
        <w:rPr>
          <w:rFonts w:hint="cs"/>
          <w:rtl/>
        </w:rPr>
        <w:t>או ר</w:t>
      </w:r>
      <w:r w:rsidR="003A398D" w:rsidRPr="00094F93">
        <w:rPr>
          <w:rFonts w:hint="cs"/>
          <w:rtl/>
        </w:rPr>
        <w:t>י</w:t>
      </w:r>
      <w:r w:rsidR="000E497B" w:rsidRPr="00094F93">
        <w:rPr>
          <w:rFonts w:hint="cs"/>
          <w:rtl/>
        </w:rPr>
        <w:t>שיונות לישיבת קבע ממי שרכש את האשרה או הרישיון ש</w:t>
      </w:r>
      <w:r w:rsidR="00271131">
        <w:rPr>
          <w:rFonts w:hint="cs"/>
          <w:rtl/>
        </w:rPr>
        <w:t>ל</w:t>
      </w:r>
      <w:r w:rsidR="000E497B" w:rsidRPr="00094F93">
        <w:rPr>
          <w:rFonts w:hint="cs"/>
          <w:rtl/>
        </w:rPr>
        <w:t>א בדרך של כניסה לישראל, כי אם בדרך של תחולה על אוכלוסיות כגון תושבי מזרח ירושלים ורמת הגולן אשר לא התאזרחו במדינת ישראל;</w:t>
      </w:r>
      <w:r w:rsidRPr="00094F93">
        <w:rPr>
          <w:rFonts w:hint="cs"/>
          <w:rtl/>
        </w:rPr>
        <w:t xml:space="preserve"> השני, </w:t>
      </w:r>
      <w:r w:rsidR="000E497B" w:rsidRPr="00094F93">
        <w:rPr>
          <w:rFonts w:hint="cs"/>
          <w:rtl/>
        </w:rPr>
        <w:t>היעדר אמות מידה בחקיקה ראשית לשלילת רישיונות לישיבת קבע, בפרט בשל שיקולים הקשורי</w:t>
      </w:r>
      <w:r w:rsidR="004A3454" w:rsidRPr="00094F93">
        <w:rPr>
          <w:rFonts w:hint="cs"/>
          <w:rtl/>
        </w:rPr>
        <w:t>ם בהפרת אמונים כלפי מדינת ישראל, ובמעורבות בטרור.</w:t>
      </w:r>
    </w:p>
    <w:p w14:paraId="5691BC1E" w14:textId="1AC88667" w:rsidR="000E497B" w:rsidRPr="00094F93" w:rsidRDefault="00271131" w:rsidP="00271131">
      <w:pPr>
        <w:pStyle w:val="Hesber"/>
        <w:rPr>
          <w:rtl/>
        </w:rPr>
      </w:pPr>
      <w:r>
        <w:rPr>
          <w:rFonts w:hint="cs"/>
          <w:rtl/>
        </w:rPr>
        <w:t>לפיכך</w:t>
      </w:r>
      <w:r w:rsidR="003A398D" w:rsidRPr="00094F93">
        <w:rPr>
          <w:rFonts w:hint="cs"/>
          <w:rtl/>
        </w:rPr>
        <w:t>,</w:t>
      </w:r>
      <w:r w:rsidR="000E497B" w:rsidRPr="00094F9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מוצע לציין </w:t>
      </w:r>
      <w:r w:rsidR="008506FE">
        <w:rPr>
          <w:rFonts w:hint="cs"/>
          <w:rtl/>
        </w:rPr>
        <w:t>ברחל בתך הקטנה</w:t>
      </w:r>
      <w:r>
        <w:rPr>
          <w:rFonts w:hint="cs"/>
          <w:rtl/>
        </w:rPr>
        <w:t xml:space="preserve"> </w:t>
      </w:r>
      <w:r w:rsidR="009624DE">
        <w:rPr>
          <w:rFonts w:hint="cs"/>
          <w:rtl/>
        </w:rPr>
        <w:t>כ</w:t>
      </w:r>
      <w:r>
        <w:rPr>
          <w:rFonts w:hint="cs"/>
          <w:rtl/>
        </w:rPr>
        <w:t xml:space="preserve">י סמכותו של שר הפנים משתרעת גם לעניין שלילת רישיון לישיבת קבע, ובכלל זה ההטבות </w:t>
      </w:r>
      <w:r w:rsidR="009624DE">
        <w:rPr>
          <w:rFonts w:hint="cs"/>
          <w:rtl/>
        </w:rPr>
        <w:t>הנלוות לו</w:t>
      </w:r>
      <w:r w:rsidR="004A3454" w:rsidRPr="00094F93">
        <w:rPr>
          <w:rFonts w:hint="cs"/>
          <w:rtl/>
        </w:rPr>
        <w:t xml:space="preserve"> (תקבולי ביטוח</w:t>
      </w:r>
      <w:r>
        <w:rPr>
          <w:rFonts w:hint="cs"/>
          <w:rtl/>
        </w:rPr>
        <w:t xml:space="preserve"> לאומי, קצבאות וכו') מאנשי חמאס.</w:t>
      </w:r>
    </w:p>
    <w:p w14:paraId="1E94F73A" w14:textId="77777777" w:rsidR="000E497B" w:rsidRDefault="000E497B" w:rsidP="000E497B">
      <w:pPr>
        <w:pStyle w:val="Hesber"/>
        <w:rPr>
          <w:rtl/>
        </w:rPr>
      </w:pPr>
    </w:p>
    <w:p w14:paraId="2AD8ECC0" w14:textId="76440A21" w:rsidR="008506FE" w:rsidRDefault="008506FE" w:rsidP="000E497B">
      <w:pPr>
        <w:pStyle w:val="Hesber"/>
        <w:rPr>
          <w:rtl/>
        </w:rPr>
      </w:pPr>
    </w:p>
    <w:p w14:paraId="36DFE780" w14:textId="77777777" w:rsidR="008506FE" w:rsidRPr="00D73212" w:rsidRDefault="008506FE" w:rsidP="008506FE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46C0E40E" w14:textId="77777777" w:rsidR="008506FE" w:rsidRPr="00D73212" w:rsidRDefault="008506FE" w:rsidP="008506FE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70F9BCA8" w14:textId="77777777" w:rsidR="008506FE" w:rsidRPr="00D73212" w:rsidRDefault="008506FE" w:rsidP="008506FE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37C7757D" w14:textId="77777777" w:rsidR="008506FE" w:rsidRPr="00317312" w:rsidRDefault="008506FE" w:rsidP="008506FE">
      <w:pPr>
        <w:pStyle w:val="Hesber"/>
      </w:pPr>
      <w:r>
        <w:rPr>
          <w:rFonts w:hint="cs"/>
          <w:color w:val="auto"/>
          <w:rtl/>
          <w:lang w:eastAsia="en-US"/>
        </w:rPr>
        <w:t>כ"ד בחשוון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ח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13.11</w:t>
      </w:r>
      <w:r w:rsidRPr="00D73212">
        <w:rPr>
          <w:color w:val="auto"/>
          <w:rtl/>
          <w:lang w:eastAsia="en-US"/>
        </w:rPr>
        <w:t>.</w:t>
      </w:r>
      <w:r>
        <w:rPr>
          <w:rFonts w:hint="cs"/>
          <w:color w:val="auto"/>
          <w:rtl/>
          <w:lang w:eastAsia="en-US"/>
        </w:rPr>
        <w:t>17</w:t>
      </w:r>
    </w:p>
    <w:p w14:paraId="79F30B02" w14:textId="77777777" w:rsidR="008506FE" w:rsidRDefault="008506FE" w:rsidP="008506FE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</w:p>
    <w:p w14:paraId="1623CB89" w14:textId="77777777" w:rsidR="008506FE" w:rsidRDefault="008506FE" w:rsidP="000E497B">
      <w:pPr>
        <w:pStyle w:val="Hesber"/>
        <w:rPr>
          <w:rtl/>
        </w:rPr>
      </w:pPr>
    </w:p>
    <w:sectPr w:rsidR="008506FE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D84417" w14:textId="77777777" w:rsidR="00C767A0" w:rsidRDefault="00C767A0">
      <w:r>
        <w:separator/>
      </w:r>
    </w:p>
  </w:endnote>
  <w:endnote w:type="continuationSeparator" w:id="0">
    <w:p w14:paraId="4D6229C3" w14:textId="77777777" w:rsidR="00C767A0" w:rsidRDefault="00C767A0">
      <w:r>
        <w:continuationSeparator/>
      </w:r>
    </w:p>
  </w:endnote>
  <w:endnote w:type="continuationNotice" w:id="1">
    <w:p w14:paraId="09923E77" w14:textId="77777777" w:rsidR="00C767A0" w:rsidRDefault="00C767A0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B416B6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C1F4AC" w14:textId="77777777" w:rsidR="00C767A0" w:rsidRDefault="00C767A0">
      <w:r>
        <w:separator/>
      </w:r>
    </w:p>
  </w:footnote>
  <w:footnote w:type="continuationSeparator" w:id="0">
    <w:p w14:paraId="4BA711D1" w14:textId="77777777" w:rsidR="00C767A0" w:rsidRDefault="00C767A0">
      <w:r>
        <w:continuationSeparator/>
      </w:r>
    </w:p>
  </w:footnote>
  <w:footnote w:type="continuationNotice" w:id="1">
    <w:p w14:paraId="735A1F81" w14:textId="77777777" w:rsidR="00C767A0" w:rsidRDefault="00C767A0"/>
  </w:footnote>
  <w:footnote w:id="2">
    <w:p w14:paraId="07287297" w14:textId="77777777" w:rsidR="00E06C78" w:rsidRDefault="00E06C78" w:rsidP="00E06C78">
      <w:pPr>
        <w:pStyle w:val="a4"/>
      </w:pPr>
      <w:r>
        <w:rPr>
          <w:rStyle w:val="a6"/>
        </w:rPr>
        <w:footnoteRef/>
      </w:r>
      <w:r>
        <w:rPr>
          <w:rFonts w:hint="cs"/>
          <w:rtl/>
        </w:rPr>
        <w:t xml:space="preserve"> </w:t>
      </w:r>
      <w:r w:rsidRPr="00190654">
        <w:rPr>
          <w:rtl/>
        </w:rPr>
        <w:t xml:space="preserve">ס"ח </w:t>
      </w:r>
      <w:proofErr w:type="spellStart"/>
      <w:r w:rsidRPr="00190654">
        <w:rPr>
          <w:rtl/>
        </w:rPr>
        <w:t>התשי"ב</w:t>
      </w:r>
      <w:proofErr w:type="spellEnd"/>
      <w:r w:rsidRPr="00190654">
        <w:rPr>
          <w:rtl/>
        </w:rPr>
        <w:t>, עמ' 146.</w:t>
      </w:r>
    </w:p>
  </w:footnote>
  <w:footnote w:id="3">
    <w:p w14:paraId="5FFC3F7D" w14:textId="63CF4496" w:rsidR="008752A7" w:rsidRDefault="008752A7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 w:rsidR="00094F93">
        <w:rPr>
          <w:rFonts w:hint="cs"/>
          <w:rtl/>
        </w:rPr>
        <w:t xml:space="preserve">ס"ח </w:t>
      </w:r>
      <w:proofErr w:type="spellStart"/>
      <w:r w:rsidR="00094F93">
        <w:rPr>
          <w:rFonts w:hint="cs"/>
          <w:rtl/>
        </w:rPr>
        <w:t>התשע"ו</w:t>
      </w:r>
      <w:proofErr w:type="spellEnd"/>
      <w:r w:rsidR="00094F93">
        <w:rPr>
          <w:rFonts w:hint="cs"/>
          <w:rtl/>
        </w:rPr>
        <w:t>, עמ' 898.</w:t>
      </w:r>
    </w:p>
  </w:footnote>
  <w:footnote w:id="4">
    <w:p w14:paraId="2CA115BE" w14:textId="554FE38A" w:rsidR="008752A7" w:rsidRDefault="008752A7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 w:rsidR="00094F93">
        <w:rPr>
          <w:sz w:val="20"/>
          <w:rtl/>
        </w:rPr>
        <w:t xml:space="preserve">ס"ח </w:t>
      </w:r>
      <w:proofErr w:type="spellStart"/>
      <w:r w:rsidR="00094F93">
        <w:rPr>
          <w:sz w:val="20"/>
          <w:rtl/>
        </w:rPr>
        <w:t>התשל"ז</w:t>
      </w:r>
      <w:proofErr w:type="spellEnd"/>
      <w:r w:rsidR="00094F93">
        <w:rPr>
          <w:sz w:val="20"/>
          <w:rtl/>
        </w:rPr>
        <w:t>, עמ' 226.</w:t>
      </w:r>
    </w:p>
  </w:footnote>
  <w:footnote w:id="5">
    <w:p w14:paraId="23B48AAB" w14:textId="3651EA75" w:rsidR="008752A7" w:rsidRDefault="008752A7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 w:rsidR="00094F93">
        <w:rPr>
          <w:rFonts w:hint="cs"/>
          <w:rtl/>
        </w:rPr>
        <w:t xml:space="preserve">ס"ח </w:t>
      </w:r>
      <w:proofErr w:type="spellStart"/>
      <w:r w:rsidR="00094F93">
        <w:rPr>
          <w:rFonts w:hint="cs"/>
          <w:rtl/>
        </w:rPr>
        <w:t>התשי"ב</w:t>
      </w:r>
      <w:proofErr w:type="spellEnd"/>
      <w:r w:rsidR="00094F93">
        <w:rPr>
          <w:rFonts w:hint="cs"/>
          <w:rtl/>
        </w:rPr>
        <w:t>, עמ' 146.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5810FD"/>
    <w:multiLevelType w:val="hybridMultilevel"/>
    <w:tmpl w:val="E6588198"/>
    <w:lvl w:ilvl="0" w:tplc="90800D98">
      <w:start w:val="1"/>
      <w:numFmt w:val="decimal"/>
      <w:lvlText w:val="(%1)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3"/>
  </w:num>
  <w:num w:numId="13">
    <w:abstractNumId w:val="10"/>
  </w:num>
  <w:num w:numId="14">
    <w:abstractNumId w:val="1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80316"/>
    <w:rsid w:val="00094F93"/>
    <w:rsid w:val="000952B4"/>
    <w:rsid w:val="000A542E"/>
    <w:rsid w:val="000C6F55"/>
    <w:rsid w:val="000D3089"/>
    <w:rsid w:val="000E497B"/>
    <w:rsid w:val="000E74AD"/>
    <w:rsid w:val="00102A65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56980"/>
    <w:rsid w:val="00157EEB"/>
    <w:rsid w:val="00173C13"/>
    <w:rsid w:val="00191AEC"/>
    <w:rsid w:val="00191CEF"/>
    <w:rsid w:val="001A0623"/>
    <w:rsid w:val="001C2060"/>
    <w:rsid w:val="001C2306"/>
    <w:rsid w:val="001C23B0"/>
    <w:rsid w:val="001D0B2E"/>
    <w:rsid w:val="001D264B"/>
    <w:rsid w:val="001D7AAF"/>
    <w:rsid w:val="00203A7F"/>
    <w:rsid w:val="0021633A"/>
    <w:rsid w:val="002200A1"/>
    <w:rsid w:val="00221AA9"/>
    <w:rsid w:val="002362BF"/>
    <w:rsid w:val="00241B97"/>
    <w:rsid w:val="002425D1"/>
    <w:rsid w:val="00246756"/>
    <w:rsid w:val="00251E58"/>
    <w:rsid w:val="00254605"/>
    <w:rsid w:val="00266D86"/>
    <w:rsid w:val="00271131"/>
    <w:rsid w:val="002728B4"/>
    <w:rsid w:val="0027600C"/>
    <w:rsid w:val="0028310C"/>
    <w:rsid w:val="00292712"/>
    <w:rsid w:val="002A487D"/>
    <w:rsid w:val="002B18FB"/>
    <w:rsid w:val="002C2E29"/>
    <w:rsid w:val="002C3041"/>
    <w:rsid w:val="002D1EE3"/>
    <w:rsid w:val="002D64BB"/>
    <w:rsid w:val="002F1D80"/>
    <w:rsid w:val="002F395A"/>
    <w:rsid w:val="003232A2"/>
    <w:rsid w:val="00325C14"/>
    <w:rsid w:val="00354F5D"/>
    <w:rsid w:val="003574D3"/>
    <w:rsid w:val="0036422C"/>
    <w:rsid w:val="003677A6"/>
    <w:rsid w:val="003710F6"/>
    <w:rsid w:val="00375C35"/>
    <w:rsid w:val="00382570"/>
    <w:rsid w:val="00386E88"/>
    <w:rsid w:val="0039086F"/>
    <w:rsid w:val="00395E64"/>
    <w:rsid w:val="00396585"/>
    <w:rsid w:val="003A398D"/>
    <w:rsid w:val="003D6E38"/>
    <w:rsid w:val="003D74A0"/>
    <w:rsid w:val="004033D8"/>
    <w:rsid w:val="004073F0"/>
    <w:rsid w:val="00412A7D"/>
    <w:rsid w:val="00416B4D"/>
    <w:rsid w:val="00417CFC"/>
    <w:rsid w:val="00447561"/>
    <w:rsid w:val="00480E3C"/>
    <w:rsid w:val="00487499"/>
    <w:rsid w:val="004A06DC"/>
    <w:rsid w:val="004A3454"/>
    <w:rsid w:val="004B24ED"/>
    <w:rsid w:val="004B6625"/>
    <w:rsid w:val="004D2D82"/>
    <w:rsid w:val="004D3876"/>
    <w:rsid w:val="004D724B"/>
    <w:rsid w:val="004E4552"/>
    <w:rsid w:val="004E6CDF"/>
    <w:rsid w:val="00523B47"/>
    <w:rsid w:val="00553C9D"/>
    <w:rsid w:val="0055461D"/>
    <w:rsid w:val="00562A66"/>
    <w:rsid w:val="00565763"/>
    <w:rsid w:val="0057326D"/>
    <w:rsid w:val="005B064E"/>
    <w:rsid w:val="005D51AE"/>
    <w:rsid w:val="0062674B"/>
    <w:rsid w:val="006363B2"/>
    <w:rsid w:val="00644940"/>
    <w:rsid w:val="00656128"/>
    <w:rsid w:val="006775AF"/>
    <w:rsid w:val="006818A9"/>
    <w:rsid w:val="006A2D81"/>
    <w:rsid w:val="006C1D0D"/>
    <w:rsid w:val="006E46D4"/>
    <w:rsid w:val="006E767E"/>
    <w:rsid w:val="00702121"/>
    <w:rsid w:val="0070601E"/>
    <w:rsid w:val="00712C72"/>
    <w:rsid w:val="00735FE9"/>
    <w:rsid w:val="00755C90"/>
    <w:rsid w:val="00762505"/>
    <w:rsid w:val="00763CAA"/>
    <w:rsid w:val="007651E2"/>
    <w:rsid w:val="00765F66"/>
    <w:rsid w:val="00770DF2"/>
    <w:rsid w:val="0078664F"/>
    <w:rsid w:val="007C3FA6"/>
    <w:rsid w:val="007D0EFC"/>
    <w:rsid w:val="007D585A"/>
    <w:rsid w:val="007D5A12"/>
    <w:rsid w:val="007D6867"/>
    <w:rsid w:val="007E59F9"/>
    <w:rsid w:val="00810BCD"/>
    <w:rsid w:val="0081250E"/>
    <w:rsid w:val="008129A9"/>
    <w:rsid w:val="00812C98"/>
    <w:rsid w:val="00814D92"/>
    <w:rsid w:val="00817ADD"/>
    <w:rsid w:val="0083181D"/>
    <w:rsid w:val="008358CF"/>
    <w:rsid w:val="00843EB2"/>
    <w:rsid w:val="008506FE"/>
    <w:rsid w:val="00865572"/>
    <w:rsid w:val="00870345"/>
    <w:rsid w:val="00874BBC"/>
    <w:rsid w:val="008752A7"/>
    <w:rsid w:val="00892135"/>
    <w:rsid w:val="00894A00"/>
    <w:rsid w:val="00895449"/>
    <w:rsid w:val="00897879"/>
    <w:rsid w:val="008A6870"/>
    <w:rsid w:val="008C2DDC"/>
    <w:rsid w:val="008C7516"/>
    <w:rsid w:val="008D6FA8"/>
    <w:rsid w:val="008D7140"/>
    <w:rsid w:val="008E080E"/>
    <w:rsid w:val="008E6EC7"/>
    <w:rsid w:val="008F0D63"/>
    <w:rsid w:val="008F1308"/>
    <w:rsid w:val="008F2C35"/>
    <w:rsid w:val="008F6665"/>
    <w:rsid w:val="00904591"/>
    <w:rsid w:val="00905E5F"/>
    <w:rsid w:val="0091204F"/>
    <w:rsid w:val="0091434D"/>
    <w:rsid w:val="009203DB"/>
    <w:rsid w:val="00923CD4"/>
    <w:rsid w:val="00930EFE"/>
    <w:rsid w:val="00943386"/>
    <w:rsid w:val="009456B6"/>
    <w:rsid w:val="00957589"/>
    <w:rsid w:val="009602FE"/>
    <w:rsid w:val="00961F01"/>
    <w:rsid w:val="009624DE"/>
    <w:rsid w:val="00966893"/>
    <w:rsid w:val="00966D06"/>
    <w:rsid w:val="00982412"/>
    <w:rsid w:val="00983A8D"/>
    <w:rsid w:val="009A0DB8"/>
    <w:rsid w:val="009A7257"/>
    <w:rsid w:val="009C4FB4"/>
    <w:rsid w:val="009D6E0A"/>
    <w:rsid w:val="009E1E33"/>
    <w:rsid w:val="009F1742"/>
    <w:rsid w:val="00A00361"/>
    <w:rsid w:val="00A04003"/>
    <w:rsid w:val="00A14672"/>
    <w:rsid w:val="00A26BD6"/>
    <w:rsid w:val="00A443CF"/>
    <w:rsid w:val="00A554B5"/>
    <w:rsid w:val="00A6611D"/>
    <w:rsid w:val="00A748E2"/>
    <w:rsid w:val="00A82CB7"/>
    <w:rsid w:val="00A942C1"/>
    <w:rsid w:val="00AA2F03"/>
    <w:rsid w:val="00AA774B"/>
    <w:rsid w:val="00AC36F7"/>
    <w:rsid w:val="00AC63A4"/>
    <w:rsid w:val="00AD239E"/>
    <w:rsid w:val="00B10265"/>
    <w:rsid w:val="00B16A99"/>
    <w:rsid w:val="00B21211"/>
    <w:rsid w:val="00B356CE"/>
    <w:rsid w:val="00B35784"/>
    <w:rsid w:val="00B416B6"/>
    <w:rsid w:val="00B733A7"/>
    <w:rsid w:val="00B75C91"/>
    <w:rsid w:val="00B776BE"/>
    <w:rsid w:val="00B975AD"/>
    <w:rsid w:val="00BC45FB"/>
    <w:rsid w:val="00BD2858"/>
    <w:rsid w:val="00BF148D"/>
    <w:rsid w:val="00C23B1A"/>
    <w:rsid w:val="00C310EB"/>
    <w:rsid w:val="00C53B2D"/>
    <w:rsid w:val="00C767A0"/>
    <w:rsid w:val="00C9176A"/>
    <w:rsid w:val="00C94E92"/>
    <w:rsid w:val="00CC3B0B"/>
    <w:rsid w:val="00CF1AA2"/>
    <w:rsid w:val="00D15542"/>
    <w:rsid w:val="00D17774"/>
    <w:rsid w:val="00D213BE"/>
    <w:rsid w:val="00D63620"/>
    <w:rsid w:val="00D8410D"/>
    <w:rsid w:val="00D867D7"/>
    <w:rsid w:val="00D94D1E"/>
    <w:rsid w:val="00DB6CB6"/>
    <w:rsid w:val="00DB7060"/>
    <w:rsid w:val="00DD7EC4"/>
    <w:rsid w:val="00DE3153"/>
    <w:rsid w:val="00DE52A1"/>
    <w:rsid w:val="00E06736"/>
    <w:rsid w:val="00E06C78"/>
    <w:rsid w:val="00E10838"/>
    <w:rsid w:val="00E13C27"/>
    <w:rsid w:val="00E33BBD"/>
    <w:rsid w:val="00E36068"/>
    <w:rsid w:val="00E374F2"/>
    <w:rsid w:val="00E40EDC"/>
    <w:rsid w:val="00E45103"/>
    <w:rsid w:val="00E55A60"/>
    <w:rsid w:val="00E62778"/>
    <w:rsid w:val="00E63D38"/>
    <w:rsid w:val="00E665B9"/>
    <w:rsid w:val="00E900ED"/>
    <w:rsid w:val="00EA01E6"/>
    <w:rsid w:val="00EA3DE8"/>
    <w:rsid w:val="00EA758F"/>
    <w:rsid w:val="00EB7F9A"/>
    <w:rsid w:val="00ED4A6F"/>
    <w:rsid w:val="00EF3713"/>
    <w:rsid w:val="00EF3A3A"/>
    <w:rsid w:val="00F628D6"/>
    <w:rsid w:val="00F67051"/>
    <w:rsid w:val="00F86A1E"/>
    <w:rsid w:val="00FA1DD1"/>
    <w:rsid w:val="00FA5E88"/>
    <w:rsid w:val="00FB4D0D"/>
    <w:rsid w:val="00FF2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E06C78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CEA5D5-E369-4721-83DA-FF3298E0EC95}"/>
</file>

<file path=customXml/itemProps4.xml><?xml version="1.0" encoding="utf-8"?>
<ds:datastoreItem xmlns:ds="http://schemas.openxmlformats.org/officeDocument/2006/customXml" ds:itemID="{781FFA83-4E15-4643-A9A7-47FB5CD03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396</Words>
  <Characters>1983</Characters>
  <Application>Microsoft Office Word</Application>
  <DocSecurity>0</DocSecurity>
  <Lines>16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שוש אזולאי</cp:lastModifiedBy>
  <cp:revision>2</cp:revision>
  <cp:lastPrinted>2018-02-22T10:45:00Z</cp:lastPrinted>
  <dcterms:created xsi:type="dcterms:W3CDTF">2018-02-22T10:46:00Z</dcterms:created>
  <dcterms:modified xsi:type="dcterms:W3CDTF">2018-02-22T10:46:00Z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2066119</vt:r8>
  </property>
</Properties>
</file>