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2022911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A" w14:textId="5EB82055" w:rsidR="00E13C27" w:rsidRPr="00CF1AA2" w:rsidRDefault="008F6665" w:rsidP="00DC3EC7">
      <w:pPr>
        <w:pStyle w:val="David"/>
        <w:spacing w:line="360" w:lineRule="auto"/>
        <w:ind w:left="3544"/>
        <w:rPr>
          <w:b/>
          <w:bCs/>
          <w:sz w:val="16"/>
          <w:szCs w:val="16"/>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ענת ברקו</w:t>
      </w:r>
      <w:r>
        <w:br/>
      </w:r>
      <w:r>
        <w:rPr>
          <w:rFonts w:hint="cs"/>
          <w:b/>
          <w:bCs/>
          <w:rtl/>
        </w:rPr>
        <w:t xml:space="preserve"> </w:t>
      </w:r>
      <w:r>
        <w:tab/>
      </w:r>
      <w:r>
        <w:tab/>
      </w:r>
      <w:r>
        <w:tab/>
      </w:r>
      <w:r>
        <w:tab/>
      </w:r>
      <w:r>
        <w:rPr>
          <w:rFonts w:hint="cs"/>
          <w:b/>
          <w:bCs/>
          <w:rtl/>
        </w:rPr>
        <w:t>אכרם חסון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מיכאל מלכיאלי</w:t>
      </w:r>
      <w:r>
        <w:br/>
      </w:r>
      <w:r>
        <w:rPr>
          <w:rFonts w:hint="cs"/>
          <w:b/>
          <w:bCs/>
          <w:rtl/>
        </w:rPr>
        <w:t xml:space="preserve"> </w:t>
      </w:r>
      <w:r>
        <w:tab/>
      </w:r>
      <w:r>
        <w:tab/>
      </w:r>
      <w:r>
        <w:tab/>
      </w:r>
      <w:r>
        <w:tab/>
      </w:r>
      <w:r>
        <w:rPr>
          <w:rFonts w:hint="cs"/>
          <w:b/>
          <w:bCs/>
          <w:rtl/>
        </w:rPr>
        <w:t>ישראל אייכלר</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אבי דיכטר</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טלי פלוסקוב</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אמיר אוחנה</w:t>
      </w:r>
      <w:r>
        <w:br/>
      </w:r>
      <w:r>
        <w:rPr>
          <w:rFonts w:hint="cs"/>
          <w:b/>
          <w:bCs/>
          <w:rtl/>
        </w:rPr>
        <w:t xml:space="preserve"> </w:t>
      </w:r>
      <w:r>
        <w:tab/>
      </w:r>
      <w:r>
        <w:tab/>
      </w:r>
      <w:r>
        <w:tab/>
      </w:r>
      <w:r>
        <w:tab/>
      </w:r>
      <w:r>
        <w:rPr>
          <w:rFonts w:hint="cs"/>
          <w:b/>
          <w:bCs/>
          <w:rtl/>
        </w:rPr>
        <w:t>אלי אלאלוף</w:t>
      </w:r>
      <w:r>
        <w:br/>
      </w:r>
      <w:r>
        <w:rPr>
          <w:rFonts w:hint="cs"/>
          <w:b/>
          <w:bCs/>
          <w:rtl/>
        </w:rPr>
        <w:t xml:space="preserve"> </w:t>
      </w:r>
      <w:r>
        <w:tab/>
      </w:r>
      <w:r>
        <w:tab/>
      </w:r>
      <w:r>
        <w:tab/>
      </w:r>
      <w:r>
        <w:tab/>
      </w:r>
      <w:r>
        <w:rPr>
          <w:rFonts w:hint="cs"/>
          <w:b/>
          <w:bCs/>
          <w:rtl/>
        </w:rPr>
        <w:t>איתן ברושי</w:t>
      </w:r>
      <w:r>
        <w:br/>
      </w:r>
      <w:r>
        <w:rPr>
          <w:rFonts w:hint="cs"/>
          <w:b/>
          <w:bCs/>
          <w:rtl/>
        </w:rPr>
        <w:t xml:space="preserve"> </w:t>
      </w:r>
      <w:r>
        <w:tab/>
      </w:r>
      <w:r>
        <w:tab/>
      </w:r>
      <w:r>
        <w:tab/>
      </w:r>
      <w:r>
        <w:tab/>
      </w:r>
      <w:r>
        <w:rPr>
          <w:rFonts w:hint="cs"/>
          <w:b/>
          <w:bCs/>
          <w:rtl/>
        </w:rPr>
        <w:t>שרן השכל</w:t>
      </w:r>
      <w:r>
        <w:br/>
      </w:r>
      <w:r>
        <w:rPr>
          <w:rFonts w:hint="cs"/>
          <w:b/>
          <w:bCs/>
          <w:rtl/>
        </w:rPr>
        <w:t xml:space="preserve"> </w:t>
      </w:r>
      <w:r>
        <w:tab/>
      </w:r>
      <w:r>
        <w:tab/>
      </w:r>
      <w:r>
        <w:tab/>
      </w:r>
      <w:r>
        <w:tab/>
      </w:r>
      <w:r>
        <w:rPr>
          <w:rFonts w:hint="cs"/>
          <w:b/>
          <w:bCs/>
          <w:rtl/>
        </w:rPr>
        <w:t>מנחם אליעזר מוזס</w:t>
      </w:r>
      <w:r>
        <w:br/>
      </w:r>
      <w:r>
        <w:rPr>
          <w:rFonts w:hint="cs"/>
          <w:b/>
          <w:bCs/>
          <w:rtl/>
        </w:rPr>
        <w:t xml:space="preserve"> </w:t>
      </w:r>
      <w:r>
        <w:tab/>
      </w:r>
      <w:r>
        <w:tab/>
      </w:r>
      <w:r>
        <w:tab/>
      </w:r>
      <w:r>
        <w:tab/>
      </w:r>
      <w:r>
        <w:rPr>
          <w:rFonts w:hint="cs"/>
          <w:b/>
          <w:bCs/>
          <w:rtl/>
        </w:rPr>
        <w:t>יואב קיש</w:t>
      </w:r>
      <w:r>
        <w:br/>
      </w:r>
      <w:r>
        <w:rPr>
          <w:rFonts w:hint="cs"/>
          <w:b/>
          <w:bCs/>
          <w:rtl/>
        </w:rPr>
        <w:t xml:space="preserve"> </w:t>
      </w:r>
      <w:r>
        <w:tab/>
      </w:r>
      <w:r>
        <w:tab/>
      </w:r>
      <w:r>
        <w:tab/>
      </w:r>
      <w:r>
        <w:tab/>
      </w:r>
      <w:r>
        <w:rPr>
          <w:rFonts w:hint="cs"/>
          <w:b/>
          <w:bCs/>
          <w:rtl/>
        </w:rPr>
        <w:t>רוברט אילטוב</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פ/4828/20</w:t>
      </w:r>
      <w:bookmarkEnd w:id="6"/>
    </w:p>
    <w:p w14:paraId="7F6961AE" w14:textId="11AF8CA7" w:rsidR="00E13C27" w:rsidRDefault="00A443CF" w:rsidP="004D3360">
      <w:pPr>
        <w:pStyle w:val="HeadHatzaotHok"/>
        <w:rPr>
          <w:rtl/>
        </w:rPr>
      </w:pPr>
      <w:bookmarkStart w:id="7" w:name="LGS_Subject"/>
      <w:bookmarkStart w:id="8" w:name="_GoBack"/>
      <w:r>
        <w:rPr>
          <w:rFonts w:hint="cs"/>
          <w:rtl/>
        </w:rPr>
        <w:t>הצעת חוק</w:t>
      </w:r>
      <w:r w:rsidR="004D3360">
        <w:rPr>
          <w:rFonts w:hint="cs"/>
          <w:rtl/>
        </w:rPr>
        <w:t xml:space="preserve"> </w:t>
      </w:r>
      <w:r w:rsidR="00EA0448">
        <w:rPr>
          <w:rFonts w:hint="cs"/>
          <w:rtl/>
        </w:rPr>
        <w:t>ל</w:t>
      </w:r>
      <w:r w:rsidR="004D3360">
        <w:rPr>
          <w:rFonts w:hint="cs"/>
          <w:rtl/>
        </w:rPr>
        <w:t>תיקון</w:t>
      </w:r>
      <w:r>
        <w:rPr>
          <w:rFonts w:hint="cs"/>
          <w:rtl/>
        </w:rPr>
        <w:t xml:space="preserve"> פקודת המשטרה (לוויה וקבורה של מפגעים), התשע"ח–2017</w:t>
      </w:r>
      <w:bookmarkEnd w:id="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399"/>
      </w:tblGrid>
      <w:tr w:rsidR="00F91C07" w14:paraId="57998A5B" w14:textId="77777777" w:rsidTr="00F91C07">
        <w:trPr>
          <w:cantSplit/>
        </w:trPr>
        <w:tc>
          <w:tcPr>
            <w:tcW w:w="1871" w:type="dxa"/>
          </w:tcPr>
          <w:bookmarkEnd w:id="8"/>
          <w:p w14:paraId="7D2B3912" w14:textId="123675F0" w:rsidR="00F91C07" w:rsidRDefault="00F91C07" w:rsidP="00F91C07">
            <w:pPr>
              <w:pStyle w:val="TableSideHeading"/>
              <w:keepLines w:val="0"/>
              <w:rPr>
                <w:sz w:val="26"/>
                <w:rtl/>
              </w:rPr>
            </w:pPr>
            <w:r w:rsidRPr="00FA7692">
              <w:rPr>
                <w:rFonts w:hint="cs"/>
                <w:sz w:val="26"/>
                <w:rtl/>
              </w:rPr>
              <w:t>תיקון סעיף 4א</w:t>
            </w:r>
            <w:r>
              <w:rPr>
                <w:sz w:val="26"/>
                <w:rtl/>
              </w:rPr>
              <w:t xml:space="preserve"> </w:t>
            </w:r>
          </w:p>
        </w:tc>
        <w:tc>
          <w:tcPr>
            <w:tcW w:w="624" w:type="dxa"/>
          </w:tcPr>
          <w:p w14:paraId="7E396976" w14:textId="3C4555AE" w:rsidR="00F91C07" w:rsidRDefault="00F91C07" w:rsidP="00F91C07">
            <w:pPr>
              <w:pStyle w:val="TableText"/>
              <w:rPr>
                <w:rtl/>
              </w:rPr>
            </w:pPr>
            <w:r>
              <w:rPr>
                <w:rFonts w:hint="cs"/>
                <w:rtl/>
              </w:rPr>
              <w:t>1.</w:t>
            </w:r>
          </w:p>
        </w:tc>
        <w:tc>
          <w:tcPr>
            <w:tcW w:w="7143" w:type="dxa"/>
            <w:gridSpan w:val="7"/>
          </w:tcPr>
          <w:p w14:paraId="7B8FD2DE" w14:textId="21D8F396" w:rsidR="00F91C07" w:rsidRPr="00F91C07" w:rsidRDefault="00F91C07" w:rsidP="00F91C07">
            <w:pPr>
              <w:pStyle w:val="TableBlock"/>
              <w:rPr>
                <w:sz w:val="26"/>
                <w:rtl/>
              </w:rPr>
            </w:pPr>
            <w:r w:rsidRPr="00F91C07">
              <w:rPr>
                <w:sz w:val="26"/>
                <w:rtl/>
              </w:rPr>
              <w:t xml:space="preserve">בפקודת המשטרה [נוסח חדש], </w:t>
            </w:r>
            <w:r w:rsidRPr="00F91C07">
              <w:rPr>
                <w:rFonts w:hint="eastAsia"/>
                <w:sz w:val="26"/>
                <w:rtl/>
              </w:rPr>
              <w:t>ה</w:t>
            </w:r>
            <w:r w:rsidRPr="00F91C07">
              <w:rPr>
                <w:sz w:val="26"/>
                <w:rtl/>
              </w:rPr>
              <w:t>תשל"א–1971</w:t>
            </w:r>
            <w:r w:rsidRPr="00F91C07">
              <w:rPr>
                <w:rStyle w:val="a5"/>
                <w:sz w:val="26"/>
                <w:rtl/>
              </w:rPr>
              <w:footnoteReference w:id="2"/>
            </w:r>
            <w:r w:rsidRPr="00F91C07">
              <w:rPr>
                <w:sz w:val="26"/>
                <w:rtl/>
              </w:rPr>
              <w:t xml:space="preserve"> (</w:t>
            </w:r>
            <w:r w:rsidRPr="00F91C07">
              <w:rPr>
                <w:rFonts w:hint="eastAsia"/>
                <w:sz w:val="26"/>
                <w:rtl/>
              </w:rPr>
              <w:t>להלן</w:t>
            </w:r>
            <w:r w:rsidRPr="00F91C07">
              <w:rPr>
                <w:sz w:val="26"/>
                <w:rtl/>
              </w:rPr>
              <w:t xml:space="preserve"> </w:t>
            </w:r>
            <w:r w:rsidRPr="00F91C07">
              <w:rPr>
                <w:rFonts w:hint="eastAsia"/>
                <w:sz w:val="26"/>
                <w:rtl/>
              </w:rPr>
              <w:t>–</w:t>
            </w:r>
            <w:r w:rsidRPr="00F91C07">
              <w:rPr>
                <w:sz w:val="26"/>
                <w:rtl/>
              </w:rPr>
              <w:t xml:space="preserve"> </w:t>
            </w:r>
            <w:r w:rsidRPr="00F91C07">
              <w:rPr>
                <w:rFonts w:hint="eastAsia"/>
                <w:sz w:val="26"/>
                <w:rtl/>
              </w:rPr>
              <w:t>הפקודה</w:t>
            </w:r>
            <w:r w:rsidRPr="00F91C07">
              <w:rPr>
                <w:sz w:val="26"/>
                <w:rtl/>
              </w:rPr>
              <w:t>), בסעיף 4א(א)(1),  במקום "הנמצא באזור או במקום שבו" יבוא "שבקשר אליו"</w:t>
            </w:r>
            <w:r w:rsidRPr="00F91C07">
              <w:rPr>
                <w:rFonts w:hint="cs"/>
                <w:sz w:val="26"/>
                <w:rtl/>
              </w:rPr>
              <w:t>.</w:t>
            </w:r>
          </w:p>
        </w:tc>
      </w:tr>
      <w:tr w:rsidR="001453D4" w14:paraId="435B5274" w14:textId="77777777" w:rsidTr="00F91C07">
        <w:trPr>
          <w:cantSplit/>
        </w:trPr>
        <w:tc>
          <w:tcPr>
            <w:tcW w:w="1871" w:type="dxa"/>
          </w:tcPr>
          <w:p w14:paraId="64DB14AF" w14:textId="05ECA964" w:rsidR="001453D4" w:rsidRPr="00FA7692" w:rsidRDefault="001453D4" w:rsidP="00DC3EC7">
            <w:pPr>
              <w:pStyle w:val="TableSideHeading"/>
              <w:keepLines w:val="0"/>
              <w:rPr>
                <w:sz w:val="26"/>
                <w:rtl/>
              </w:rPr>
            </w:pPr>
            <w:r w:rsidRPr="00FA7692">
              <w:rPr>
                <w:rFonts w:hint="cs"/>
                <w:sz w:val="26"/>
                <w:rtl/>
              </w:rPr>
              <w:t>הוספת סימן א</w:t>
            </w:r>
            <w:r w:rsidR="00C828A9">
              <w:rPr>
                <w:rFonts w:hint="cs"/>
                <w:sz w:val="26"/>
                <w:rtl/>
              </w:rPr>
              <w:t>'</w:t>
            </w:r>
            <w:r w:rsidRPr="00FA7692">
              <w:rPr>
                <w:rFonts w:hint="cs"/>
                <w:sz w:val="26"/>
                <w:rtl/>
              </w:rPr>
              <w:t>1 בפרק השישי</w:t>
            </w:r>
          </w:p>
        </w:tc>
        <w:tc>
          <w:tcPr>
            <w:tcW w:w="624" w:type="dxa"/>
          </w:tcPr>
          <w:p w14:paraId="43B56F00" w14:textId="28264FB8" w:rsidR="001453D4" w:rsidRPr="00FA7692" w:rsidRDefault="001453D4" w:rsidP="001453D4">
            <w:pPr>
              <w:pStyle w:val="TableText"/>
              <w:keepLines w:val="0"/>
              <w:rPr>
                <w:sz w:val="26"/>
                <w:rtl/>
              </w:rPr>
            </w:pPr>
            <w:r w:rsidRPr="00FA7692">
              <w:rPr>
                <w:rFonts w:hint="cs"/>
                <w:sz w:val="26"/>
                <w:rtl/>
              </w:rPr>
              <w:t>2.</w:t>
            </w:r>
          </w:p>
        </w:tc>
        <w:tc>
          <w:tcPr>
            <w:tcW w:w="7143" w:type="dxa"/>
            <w:gridSpan w:val="7"/>
          </w:tcPr>
          <w:p w14:paraId="22702580" w14:textId="06504753" w:rsidR="001453D4" w:rsidRPr="00FA7692" w:rsidRDefault="0080499D" w:rsidP="00F91C07">
            <w:pPr>
              <w:pStyle w:val="TableBlock"/>
              <w:rPr>
                <w:sz w:val="26"/>
                <w:rtl/>
              </w:rPr>
            </w:pPr>
            <w:r>
              <w:rPr>
                <w:rFonts w:hint="cs"/>
                <w:sz w:val="26"/>
                <w:rtl/>
              </w:rPr>
              <w:t>אחרי סעיף 82 לפקודה יבוא:</w:t>
            </w:r>
            <w:r w:rsidR="00E94B41" w:rsidRPr="00FA7692" w:rsidDel="00E94B41">
              <w:rPr>
                <w:sz w:val="26"/>
                <w:rtl/>
              </w:rPr>
              <w:t xml:space="preserve"> </w:t>
            </w:r>
            <w:r w:rsidR="00E94B41">
              <w:rPr>
                <w:sz w:val="26"/>
                <w:rtl/>
              </w:rPr>
              <w:t xml:space="preserve"> </w:t>
            </w:r>
          </w:p>
        </w:tc>
      </w:tr>
      <w:tr w:rsidR="0080499D" w14:paraId="082DADBE" w14:textId="77777777" w:rsidTr="00F91C07">
        <w:trPr>
          <w:cantSplit/>
        </w:trPr>
        <w:tc>
          <w:tcPr>
            <w:tcW w:w="1871" w:type="dxa"/>
          </w:tcPr>
          <w:p w14:paraId="1D824C3C" w14:textId="77777777" w:rsidR="0080499D" w:rsidRDefault="0080499D" w:rsidP="001453D4">
            <w:pPr>
              <w:pStyle w:val="TableSideHeading"/>
              <w:keepLines w:val="0"/>
              <w:rPr>
                <w:sz w:val="26"/>
                <w:rtl/>
              </w:rPr>
            </w:pPr>
          </w:p>
        </w:tc>
        <w:tc>
          <w:tcPr>
            <w:tcW w:w="624" w:type="dxa"/>
          </w:tcPr>
          <w:p w14:paraId="2AB36554" w14:textId="77777777" w:rsidR="0080499D" w:rsidRPr="00FA7692" w:rsidRDefault="0080499D" w:rsidP="00F91C07">
            <w:pPr>
              <w:pStyle w:val="TableText"/>
              <w:rPr>
                <w:rtl/>
              </w:rPr>
            </w:pPr>
          </w:p>
        </w:tc>
        <w:tc>
          <w:tcPr>
            <w:tcW w:w="7143" w:type="dxa"/>
            <w:gridSpan w:val="7"/>
          </w:tcPr>
          <w:p w14:paraId="3F42FE97" w14:textId="43C99F02" w:rsidR="0080499D" w:rsidRPr="00F91C07" w:rsidRDefault="0080499D" w:rsidP="00DC3EC7">
            <w:pPr>
              <w:pStyle w:val="TableHead"/>
              <w:rPr>
                <w:rtl/>
              </w:rPr>
            </w:pPr>
            <w:r w:rsidRPr="0080499D">
              <w:rPr>
                <w:rtl/>
              </w:rPr>
              <w:t xml:space="preserve">"סימן </w:t>
            </w:r>
            <w:r w:rsidRPr="0080499D">
              <w:rPr>
                <w:rFonts w:hint="eastAsia"/>
                <w:rtl/>
              </w:rPr>
              <w:t>א</w:t>
            </w:r>
            <w:r w:rsidR="00C828A9">
              <w:rPr>
                <w:rFonts w:hint="cs"/>
                <w:rtl/>
              </w:rPr>
              <w:t>'</w:t>
            </w:r>
            <w:r w:rsidRPr="0080499D">
              <w:rPr>
                <w:rtl/>
              </w:rPr>
              <w:t xml:space="preserve">1: </w:t>
            </w:r>
            <w:r w:rsidRPr="0080499D">
              <w:rPr>
                <w:rFonts w:hint="eastAsia"/>
                <w:rtl/>
              </w:rPr>
              <w:t>הלוויה</w:t>
            </w:r>
            <w:r w:rsidRPr="0080499D">
              <w:rPr>
                <w:rtl/>
              </w:rPr>
              <w:t xml:space="preserve"> </w:t>
            </w:r>
            <w:r w:rsidRPr="0080499D">
              <w:rPr>
                <w:rFonts w:hint="eastAsia"/>
                <w:rtl/>
              </w:rPr>
              <w:t>וקבורה</w:t>
            </w:r>
            <w:r w:rsidRPr="0080499D">
              <w:rPr>
                <w:rtl/>
              </w:rPr>
              <w:t xml:space="preserve"> </w:t>
            </w:r>
            <w:r w:rsidRPr="0080499D">
              <w:rPr>
                <w:rFonts w:hint="eastAsia"/>
                <w:rtl/>
              </w:rPr>
              <w:t>של</w:t>
            </w:r>
            <w:r w:rsidRPr="0080499D">
              <w:rPr>
                <w:rtl/>
              </w:rPr>
              <w:t xml:space="preserve"> </w:t>
            </w:r>
            <w:r w:rsidRPr="0080499D">
              <w:rPr>
                <w:rFonts w:hint="eastAsia"/>
                <w:rtl/>
              </w:rPr>
              <w:t>מפגעים</w:t>
            </w:r>
          </w:p>
        </w:tc>
      </w:tr>
      <w:tr w:rsidR="0080499D" w14:paraId="0963E909" w14:textId="77777777" w:rsidTr="00F91C07">
        <w:trPr>
          <w:cantSplit/>
        </w:trPr>
        <w:tc>
          <w:tcPr>
            <w:tcW w:w="1871" w:type="dxa"/>
          </w:tcPr>
          <w:p w14:paraId="59669862" w14:textId="77777777" w:rsidR="0080499D" w:rsidRDefault="0080499D">
            <w:pPr>
              <w:pStyle w:val="TableSideHeading"/>
              <w:keepLines w:val="0"/>
            </w:pPr>
          </w:p>
        </w:tc>
        <w:tc>
          <w:tcPr>
            <w:tcW w:w="624" w:type="dxa"/>
          </w:tcPr>
          <w:p w14:paraId="4FF0D96B" w14:textId="77777777" w:rsidR="0080499D" w:rsidRDefault="0080499D">
            <w:pPr>
              <w:pStyle w:val="TableText"/>
              <w:keepLines w:val="0"/>
            </w:pPr>
          </w:p>
        </w:tc>
        <w:tc>
          <w:tcPr>
            <w:tcW w:w="1872" w:type="dxa"/>
            <w:gridSpan w:val="3"/>
          </w:tcPr>
          <w:p w14:paraId="65D1B456" w14:textId="597A1211" w:rsidR="0080499D" w:rsidRDefault="0080499D">
            <w:pPr>
              <w:pStyle w:val="TableInnerSideHeading"/>
            </w:pPr>
            <w:r>
              <w:rPr>
                <w:rFonts w:hint="cs"/>
                <w:rtl/>
              </w:rPr>
              <w:t xml:space="preserve">הגדרות </w:t>
            </w:r>
          </w:p>
        </w:tc>
        <w:tc>
          <w:tcPr>
            <w:tcW w:w="624" w:type="dxa"/>
          </w:tcPr>
          <w:p w14:paraId="3900389C" w14:textId="3B1403CC" w:rsidR="0080499D" w:rsidRDefault="0080499D">
            <w:pPr>
              <w:pStyle w:val="TableText"/>
            </w:pPr>
            <w:r>
              <w:rPr>
                <w:rFonts w:hint="cs"/>
                <w:rtl/>
              </w:rPr>
              <w:t>82א.</w:t>
            </w:r>
          </w:p>
        </w:tc>
        <w:tc>
          <w:tcPr>
            <w:tcW w:w="4647" w:type="dxa"/>
            <w:gridSpan w:val="3"/>
          </w:tcPr>
          <w:p w14:paraId="58888BB1" w14:textId="24BD0B4C" w:rsidR="0080499D" w:rsidRDefault="0080499D" w:rsidP="00F91C07">
            <w:pPr>
              <w:pStyle w:val="TableBlock"/>
            </w:pPr>
            <w:r w:rsidRPr="00FA7692">
              <w:rPr>
                <w:rFonts w:ascii="Calibri" w:eastAsia="Calibri" w:hAnsi="Calibri" w:hint="cs"/>
                <w:sz w:val="26"/>
                <w:rtl/>
                <w:lang w:eastAsia="en-US"/>
              </w:rPr>
              <w:t>"מעשה טרור" ו"ארגון טרור"</w:t>
            </w:r>
            <w:r>
              <w:rPr>
                <w:rFonts w:ascii="Calibri" w:eastAsia="Calibri" w:hAnsi="Calibri" w:hint="cs"/>
                <w:sz w:val="26"/>
                <w:rtl/>
                <w:lang w:eastAsia="en-US"/>
              </w:rPr>
              <w:t xml:space="preserve"> </w:t>
            </w:r>
            <w:r w:rsidRPr="00FA7692">
              <w:rPr>
                <w:rFonts w:ascii="Calibri" w:eastAsia="Calibri" w:hAnsi="Calibri"/>
                <w:sz w:val="26"/>
                <w:rtl/>
                <w:lang w:eastAsia="en-US"/>
              </w:rPr>
              <w:t>–</w:t>
            </w:r>
            <w:r w:rsidRPr="00FA7692">
              <w:rPr>
                <w:rFonts w:ascii="Calibri" w:eastAsia="Calibri" w:hAnsi="Calibri" w:hint="cs"/>
                <w:sz w:val="26"/>
                <w:rtl/>
                <w:lang w:eastAsia="en-US"/>
              </w:rPr>
              <w:t xml:space="preserve"> כ</w:t>
            </w:r>
            <w:r>
              <w:rPr>
                <w:rFonts w:ascii="Calibri" w:eastAsia="Calibri" w:hAnsi="Calibri" w:hint="cs"/>
                <w:sz w:val="26"/>
                <w:rtl/>
                <w:lang w:eastAsia="en-US"/>
              </w:rPr>
              <w:t>הגדרתם</w:t>
            </w:r>
            <w:r w:rsidRPr="00FA7692">
              <w:rPr>
                <w:rFonts w:ascii="Calibri" w:eastAsia="Calibri" w:hAnsi="Calibri" w:hint="cs"/>
                <w:sz w:val="26"/>
                <w:rtl/>
                <w:lang w:eastAsia="en-US"/>
              </w:rPr>
              <w:t xml:space="preserve"> בחוק המאבק בטרור, </w:t>
            </w:r>
            <w:r w:rsidR="00EA0448">
              <w:rPr>
                <w:rFonts w:ascii="Calibri" w:eastAsia="Calibri" w:hAnsi="Calibri" w:hint="cs"/>
                <w:sz w:val="26"/>
                <w:rtl/>
                <w:lang w:eastAsia="en-US"/>
              </w:rPr>
              <w:t>ה</w:t>
            </w:r>
            <w:r w:rsidRPr="00FA7692">
              <w:rPr>
                <w:rFonts w:ascii="Calibri" w:eastAsia="Calibri" w:hAnsi="Calibri" w:hint="cs"/>
                <w:sz w:val="26"/>
                <w:rtl/>
                <w:lang w:eastAsia="en-US"/>
              </w:rPr>
              <w:t>תשע"</w:t>
            </w:r>
            <w:r>
              <w:rPr>
                <w:rFonts w:ascii="Calibri" w:eastAsia="Calibri" w:hAnsi="Calibri" w:hint="cs"/>
                <w:sz w:val="26"/>
                <w:rtl/>
                <w:lang w:eastAsia="en-US"/>
              </w:rPr>
              <w:t>ו</w:t>
            </w:r>
            <w:r w:rsidRPr="00FA7692">
              <w:rPr>
                <w:rFonts w:ascii="Calibri" w:eastAsia="Calibri" w:hAnsi="Calibri"/>
                <w:sz w:val="26"/>
                <w:rtl/>
                <w:lang w:eastAsia="en-US"/>
              </w:rPr>
              <w:t>–</w:t>
            </w:r>
            <w:r w:rsidRPr="00FA7692">
              <w:rPr>
                <w:rFonts w:ascii="Calibri" w:eastAsia="Calibri" w:hAnsi="Calibri" w:hint="cs"/>
                <w:sz w:val="26"/>
                <w:rtl/>
                <w:lang w:eastAsia="en-US"/>
              </w:rPr>
              <w:t>201</w:t>
            </w:r>
            <w:r>
              <w:rPr>
                <w:rFonts w:ascii="Calibri" w:eastAsia="Calibri" w:hAnsi="Calibri" w:hint="cs"/>
                <w:sz w:val="26"/>
                <w:rtl/>
                <w:lang w:eastAsia="en-US"/>
              </w:rPr>
              <w:t>6</w:t>
            </w:r>
            <w:r>
              <w:rPr>
                <w:rStyle w:val="a5"/>
                <w:rFonts w:ascii="Calibri" w:eastAsia="Calibri" w:hAnsi="Calibri"/>
                <w:sz w:val="26"/>
                <w:rtl/>
                <w:lang w:eastAsia="en-US"/>
              </w:rPr>
              <w:footnoteReference w:id="3"/>
            </w:r>
            <w:r w:rsidRPr="00FA7692">
              <w:rPr>
                <w:rFonts w:ascii="Calibri" w:eastAsia="Calibri" w:hAnsi="Calibri" w:hint="cs"/>
                <w:sz w:val="26"/>
                <w:rtl/>
                <w:lang w:eastAsia="en-US"/>
              </w:rPr>
              <w:t>;</w:t>
            </w:r>
            <w:r w:rsidR="00E94B41">
              <w:t xml:space="preserve"> </w:t>
            </w:r>
          </w:p>
        </w:tc>
      </w:tr>
      <w:tr w:rsidR="0080499D" w14:paraId="2CAE060E" w14:textId="77777777" w:rsidTr="00F91C07">
        <w:trPr>
          <w:cantSplit/>
        </w:trPr>
        <w:tc>
          <w:tcPr>
            <w:tcW w:w="1871" w:type="dxa"/>
          </w:tcPr>
          <w:p w14:paraId="7558AF07" w14:textId="77777777" w:rsidR="0080499D" w:rsidRDefault="0080499D">
            <w:pPr>
              <w:pStyle w:val="TableSideHeading"/>
            </w:pPr>
          </w:p>
        </w:tc>
        <w:tc>
          <w:tcPr>
            <w:tcW w:w="624" w:type="dxa"/>
          </w:tcPr>
          <w:p w14:paraId="663F988D" w14:textId="77777777" w:rsidR="0080499D" w:rsidRDefault="0080499D">
            <w:pPr>
              <w:pStyle w:val="TableText"/>
            </w:pPr>
          </w:p>
        </w:tc>
        <w:tc>
          <w:tcPr>
            <w:tcW w:w="624" w:type="dxa"/>
          </w:tcPr>
          <w:p w14:paraId="30CC408D" w14:textId="77777777" w:rsidR="0080499D" w:rsidRDefault="0080499D">
            <w:pPr>
              <w:pStyle w:val="TableText"/>
            </w:pPr>
          </w:p>
        </w:tc>
        <w:tc>
          <w:tcPr>
            <w:tcW w:w="624" w:type="dxa"/>
          </w:tcPr>
          <w:p w14:paraId="26D52735" w14:textId="77777777" w:rsidR="0080499D" w:rsidRDefault="0080499D">
            <w:pPr>
              <w:pStyle w:val="TableText"/>
            </w:pPr>
          </w:p>
        </w:tc>
        <w:tc>
          <w:tcPr>
            <w:tcW w:w="624" w:type="dxa"/>
          </w:tcPr>
          <w:p w14:paraId="5A4DE8C1" w14:textId="77777777" w:rsidR="0080499D" w:rsidRDefault="0080499D">
            <w:pPr>
              <w:pStyle w:val="TableText"/>
            </w:pPr>
          </w:p>
        </w:tc>
        <w:tc>
          <w:tcPr>
            <w:tcW w:w="624" w:type="dxa"/>
          </w:tcPr>
          <w:p w14:paraId="79E71F68" w14:textId="77777777" w:rsidR="0080499D" w:rsidRDefault="0080499D">
            <w:pPr>
              <w:pStyle w:val="TableText"/>
            </w:pPr>
          </w:p>
        </w:tc>
        <w:tc>
          <w:tcPr>
            <w:tcW w:w="4647" w:type="dxa"/>
            <w:gridSpan w:val="3"/>
          </w:tcPr>
          <w:p w14:paraId="32ACDD2E" w14:textId="24E99A1D" w:rsidR="0080499D" w:rsidRPr="00F91C07" w:rsidRDefault="0080499D" w:rsidP="00DC3EC7">
            <w:pPr>
              <w:pStyle w:val="TableBlock"/>
              <w:rPr>
                <w:rFonts w:ascii="Calibri" w:eastAsia="Calibri" w:hAnsi="Calibri"/>
                <w:sz w:val="26"/>
                <w:lang w:eastAsia="en-US"/>
              </w:rPr>
            </w:pPr>
            <w:r w:rsidRPr="00FA7692">
              <w:rPr>
                <w:rFonts w:ascii="Calibri" w:eastAsia="Calibri" w:hAnsi="Calibri" w:hint="cs"/>
                <w:sz w:val="26"/>
                <w:rtl/>
                <w:lang w:eastAsia="en-US"/>
              </w:rPr>
              <w:t xml:space="preserve">"מפגע" </w:t>
            </w:r>
            <w:r w:rsidR="00DC3EC7">
              <w:rPr>
                <w:rFonts w:ascii="Calibri" w:eastAsia="Calibri" w:hAnsi="Calibri" w:hint="eastAsia"/>
                <w:sz w:val="26"/>
                <w:rtl/>
                <w:lang w:eastAsia="en-US"/>
              </w:rPr>
              <w:t>–</w:t>
            </w:r>
            <w:r w:rsidRPr="00FA7692">
              <w:rPr>
                <w:rFonts w:ascii="Calibri" w:eastAsia="Calibri" w:hAnsi="Calibri" w:hint="cs"/>
                <w:sz w:val="26"/>
                <w:rtl/>
                <w:lang w:eastAsia="en-US"/>
              </w:rPr>
              <w:t xml:space="preserve"> מי שנהרג בשל ביצוע מעשה טרור על ידו או בניסיון לבצע מעשה כאמור;</w:t>
            </w:r>
          </w:p>
        </w:tc>
      </w:tr>
      <w:tr w:rsidR="005F6C3F" w14:paraId="688E9AC0" w14:textId="77777777" w:rsidTr="00F91C07">
        <w:trPr>
          <w:cantSplit/>
        </w:trPr>
        <w:tc>
          <w:tcPr>
            <w:tcW w:w="1871" w:type="dxa"/>
          </w:tcPr>
          <w:p w14:paraId="2FE0FBDD" w14:textId="77777777" w:rsidR="005F6C3F" w:rsidRDefault="005F6C3F">
            <w:pPr>
              <w:pStyle w:val="TableSideHeading"/>
              <w:rPr>
                <w:rtl/>
              </w:rPr>
            </w:pPr>
          </w:p>
        </w:tc>
        <w:tc>
          <w:tcPr>
            <w:tcW w:w="624" w:type="dxa"/>
          </w:tcPr>
          <w:p w14:paraId="652B0C00" w14:textId="77777777" w:rsidR="005F6C3F" w:rsidRDefault="005F6C3F" w:rsidP="00F91C07">
            <w:pPr>
              <w:pStyle w:val="TableText"/>
            </w:pPr>
          </w:p>
        </w:tc>
        <w:tc>
          <w:tcPr>
            <w:tcW w:w="624" w:type="dxa"/>
          </w:tcPr>
          <w:p w14:paraId="3F78371D" w14:textId="77777777" w:rsidR="005F6C3F" w:rsidRDefault="005F6C3F">
            <w:pPr>
              <w:pStyle w:val="TableText"/>
            </w:pPr>
          </w:p>
        </w:tc>
        <w:tc>
          <w:tcPr>
            <w:tcW w:w="624" w:type="dxa"/>
          </w:tcPr>
          <w:p w14:paraId="01E72895" w14:textId="77777777" w:rsidR="005F6C3F" w:rsidRDefault="005F6C3F">
            <w:pPr>
              <w:pStyle w:val="TableText"/>
            </w:pPr>
          </w:p>
        </w:tc>
        <w:tc>
          <w:tcPr>
            <w:tcW w:w="624" w:type="dxa"/>
          </w:tcPr>
          <w:p w14:paraId="1C0C95D4" w14:textId="77777777" w:rsidR="005F6C3F" w:rsidRDefault="005F6C3F">
            <w:pPr>
              <w:pStyle w:val="TableText"/>
            </w:pPr>
          </w:p>
        </w:tc>
        <w:tc>
          <w:tcPr>
            <w:tcW w:w="624" w:type="dxa"/>
          </w:tcPr>
          <w:p w14:paraId="29DC9440" w14:textId="77777777" w:rsidR="005F6C3F" w:rsidRDefault="005F6C3F">
            <w:pPr>
              <w:pStyle w:val="TableText"/>
            </w:pPr>
          </w:p>
        </w:tc>
        <w:tc>
          <w:tcPr>
            <w:tcW w:w="4647" w:type="dxa"/>
            <w:gridSpan w:val="3"/>
          </w:tcPr>
          <w:p w14:paraId="0E302881" w14:textId="3ABD27AE" w:rsidR="005F6C3F" w:rsidRPr="00FA7692" w:rsidRDefault="005F6C3F" w:rsidP="00F91C07">
            <w:pPr>
              <w:pStyle w:val="TableBlock"/>
              <w:rPr>
                <w:rFonts w:ascii="Calibri" w:eastAsia="Calibri" w:hAnsi="Calibri"/>
                <w:sz w:val="26"/>
                <w:rtl/>
                <w:lang w:eastAsia="en-US"/>
              </w:rPr>
            </w:pPr>
            <w:r w:rsidRPr="00FA7692">
              <w:rPr>
                <w:rFonts w:ascii="Calibri" w:eastAsia="Calibri" w:hAnsi="Calibri" w:hint="cs"/>
                <w:sz w:val="26"/>
                <w:rtl/>
                <w:lang w:eastAsia="en-US"/>
              </w:rPr>
              <w:t xml:space="preserve">"פגיעה בשל הלוויה או קבורה" </w:t>
            </w:r>
            <w:r w:rsidRPr="00FA7692">
              <w:rPr>
                <w:rFonts w:ascii="Calibri" w:eastAsia="Calibri" w:hAnsi="Calibri"/>
                <w:sz w:val="26"/>
                <w:rtl/>
                <w:lang w:eastAsia="en-US"/>
              </w:rPr>
              <w:t>–</w:t>
            </w:r>
            <w:r w:rsidRPr="00FA7692">
              <w:rPr>
                <w:rFonts w:ascii="Calibri" w:eastAsia="Calibri" w:hAnsi="Calibri" w:hint="cs"/>
                <w:sz w:val="26"/>
                <w:rtl/>
                <w:lang w:eastAsia="en-US"/>
              </w:rPr>
              <w:t xml:space="preserve"> התרחשותם של אחד מאלה בזיקה לקיומה של הלוויה או קבורה של מפגע:</w:t>
            </w:r>
          </w:p>
        </w:tc>
      </w:tr>
      <w:tr w:rsidR="005F6C3F" w14:paraId="568D9DB6" w14:textId="77777777" w:rsidTr="00F91C07">
        <w:trPr>
          <w:cantSplit/>
        </w:trPr>
        <w:tc>
          <w:tcPr>
            <w:tcW w:w="1871" w:type="dxa"/>
          </w:tcPr>
          <w:p w14:paraId="05A808C5" w14:textId="77777777" w:rsidR="005F6C3F" w:rsidRDefault="005F6C3F">
            <w:pPr>
              <w:pStyle w:val="TableSideHeading"/>
            </w:pPr>
          </w:p>
        </w:tc>
        <w:tc>
          <w:tcPr>
            <w:tcW w:w="624" w:type="dxa"/>
          </w:tcPr>
          <w:p w14:paraId="1A6516C8" w14:textId="77777777" w:rsidR="005F6C3F" w:rsidRDefault="005F6C3F">
            <w:pPr>
              <w:pStyle w:val="TableText"/>
            </w:pPr>
          </w:p>
        </w:tc>
        <w:tc>
          <w:tcPr>
            <w:tcW w:w="624" w:type="dxa"/>
          </w:tcPr>
          <w:p w14:paraId="3327A663" w14:textId="77777777" w:rsidR="005F6C3F" w:rsidRDefault="005F6C3F">
            <w:pPr>
              <w:pStyle w:val="TableText"/>
            </w:pPr>
          </w:p>
        </w:tc>
        <w:tc>
          <w:tcPr>
            <w:tcW w:w="624" w:type="dxa"/>
          </w:tcPr>
          <w:p w14:paraId="1326F27E" w14:textId="77777777" w:rsidR="005F6C3F" w:rsidRDefault="005F6C3F">
            <w:pPr>
              <w:pStyle w:val="TableText"/>
            </w:pPr>
          </w:p>
        </w:tc>
        <w:tc>
          <w:tcPr>
            <w:tcW w:w="624" w:type="dxa"/>
          </w:tcPr>
          <w:p w14:paraId="58318D09" w14:textId="77777777" w:rsidR="005F6C3F" w:rsidRDefault="005F6C3F">
            <w:pPr>
              <w:pStyle w:val="TableText"/>
            </w:pPr>
          </w:p>
        </w:tc>
        <w:tc>
          <w:tcPr>
            <w:tcW w:w="624" w:type="dxa"/>
          </w:tcPr>
          <w:p w14:paraId="7FFC741F" w14:textId="77777777" w:rsidR="005F6C3F" w:rsidRDefault="005F6C3F">
            <w:pPr>
              <w:pStyle w:val="TableText"/>
            </w:pPr>
          </w:p>
        </w:tc>
        <w:tc>
          <w:tcPr>
            <w:tcW w:w="624" w:type="dxa"/>
          </w:tcPr>
          <w:p w14:paraId="12FFD202" w14:textId="77777777" w:rsidR="005F6C3F" w:rsidRDefault="005F6C3F">
            <w:pPr>
              <w:pStyle w:val="TableText"/>
            </w:pPr>
          </w:p>
        </w:tc>
        <w:tc>
          <w:tcPr>
            <w:tcW w:w="4023" w:type="dxa"/>
            <w:gridSpan w:val="2"/>
          </w:tcPr>
          <w:p w14:paraId="7B285D3B" w14:textId="639971AA" w:rsidR="005F6C3F" w:rsidRPr="00F91C07" w:rsidRDefault="005F6C3F" w:rsidP="00F91C07">
            <w:pPr>
              <w:pStyle w:val="TableBlock"/>
              <w:numPr>
                <w:ilvl w:val="0"/>
                <w:numId w:val="16"/>
              </w:numPr>
              <w:tabs>
                <w:tab w:val="left" w:pos="624"/>
              </w:tabs>
              <w:rPr>
                <w:rFonts w:ascii="Calibri" w:eastAsia="Calibri" w:hAnsi="Calibri"/>
                <w:sz w:val="26"/>
                <w:lang w:eastAsia="en-US"/>
              </w:rPr>
            </w:pPr>
            <w:r w:rsidRPr="00FA7692">
              <w:rPr>
                <w:rFonts w:ascii="Calibri" w:eastAsia="Calibri" w:hAnsi="Calibri" w:hint="cs"/>
                <w:sz w:val="26"/>
                <w:rtl/>
                <w:lang w:eastAsia="en-US"/>
              </w:rPr>
              <w:t>ביצוע מעשה טרור;</w:t>
            </w:r>
          </w:p>
        </w:tc>
      </w:tr>
      <w:tr w:rsidR="005F6C3F" w14:paraId="19B9C690" w14:textId="77777777" w:rsidTr="00F91C07">
        <w:trPr>
          <w:cantSplit/>
        </w:trPr>
        <w:tc>
          <w:tcPr>
            <w:tcW w:w="1871" w:type="dxa"/>
          </w:tcPr>
          <w:p w14:paraId="7183EFC3" w14:textId="77777777" w:rsidR="005F6C3F" w:rsidRDefault="005F6C3F">
            <w:pPr>
              <w:pStyle w:val="TableSideHeading"/>
              <w:rPr>
                <w:rtl/>
              </w:rPr>
            </w:pPr>
          </w:p>
        </w:tc>
        <w:tc>
          <w:tcPr>
            <w:tcW w:w="624" w:type="dxa"/>
          </w:tcPr>
          <w:p w14:paraId="6D91F722" w14:textId="77777777" w:rsidR="005F6C3F" w:rsidRDefault="005F6C3F" w:rsidP="00F91C07">
            <w:pPr>
              <w:pStyle w:val="TableText"/>
            </w:pPr>
          </w:p>
        </w:tc>
        <w:tc>
          <w:tcPr>
            <w:tcW w:w="624" w:type="dxa"/>
          </w:tcPr>
          <w:p w14:paraId="13C2D7C1" w14:textId="77777777" w:rsidR="005F6C3F" w:rsidRDefault="005F6C3F">
            <w:pPr>
              <w:pStyle w:val="TableText"/>
            </w:pPr>
          </w:p>
        </w:tc>
        <w:tc>
          <w:tcPr>
            <w:tcW w:w="624" w:type="dxa"/>
          </w:tcPr>
          <w:p w14:paraId="34DBB917" w14:textId="77777777" w:rsidR="005F6C3F" w:rsidRDefault="005F6C3F">
            <w:pPr>
              <w:pStyle w:val="TableText"/>
            </w:pPr>
          </w:p>
        </w:tc>
        <w:tc>
          <w:tcPr>
            <w:tcW w:w="624" w:type="dxa"/>
          </w:tcPr>
          <w:p w14:paraId="6C58871D" w14:textId="77777777" w:rsidR="005F6C3F" w:rsidRDefault="005F6C3F">
            <w:pPr>
              <w:pStyle w:val="TableText"/>
            </w:pPr>
          </w:p>
        </w:tc>
        <w:tc>
          <w:tcPr>
            <w:tcW w:w="624" w:type="dxa"/>
          </w:tcPr>
          <w:p w14:paraId="1B44429F" w14:textId="77777777" w:rsidR="005F6C3F" w:rsidRDefault="005F6C3F">
            <w:pPr>
              <w:pStyle w:val="TableText"/>
            </w:pPr>
          </w:p>
        </w:tc>
        <w:tc>
          <w:tcPr>
            <w:tcW w:w="624" w:type="dxa"/>
          </w:tcPr>
          <w:p w14:paraId="24BC9492" w14:textId="77777777" w:rsidR="005F6C3F" w:rsidRDefault="005F6C3F">
            <w:pPr>
              <w:pStyle w:val="TableText"/>
            </w:pPr>
          </w:p>
        </w:tc>
        <w:tc>
          <w:tcPr>
            <w:tcW w:w="4023" w:type="dxa"/>
            <w:gridSpan w:val="2"/>
          </w:tcPr>
          <w:p w14:paraId="719C7177" w14:textId="3A242F42" w:rsidR="005F6C3F" w:rsidRPr="00FA7692" w:rsidRDefault="005F6C3F" w:rsidP="00F91C07">
            <w:pPr>
              <w:pStyle w:val="TableBlock"/>
              <w:numPr>
                <w:ilvl w:val="0"/>
                <w:numId w:val="16"/>
              </w:numPr>
              <w:tabs>
                <w:tab w:val="left" w:pos="624"/>
              </w:tabs>
              <w:rPr>
                <w:rFonts w:ascii="Calibri" w:eastAsia="Calibri" w:hAnsi="Calibri"/>
                <w:sz w:val="26"/>
                <w:rtl/>
                <w:lang w:eastAsia="en-US"/>
              </w:rPr>
            </w:pPr>
            <w:r>
              <w:rPr>
                <w:rFonts w:ascii="Calibri" w:eastAsia="Calibri" w:hAnsi="Calibri" w:hint="cs"/>
                <w:sz w:val="26"/>
                <w:rtl/>
                <w:lang w:eastAsia="en-US"/>
              </w:rPr>
              <w:t>פגיעה בביטחון הנפש;</w:t>
            </w:r>
          </w:p>
        </w:tc>
      </w:tr>
      <w:tr w:rsidR="005F6C3F" w14:paraId="61A05C65" w14:textId="77777777" w:rsidTr="00F91C07">
        <w:trPr>
          <w:cantSplit/>
        </w:trPr>
        <w:tc>
          <w:tcPr>
            <w:tcW w:w="1871" w:type="dxa"/>
          </w:tcPr>
          <w:p w14:paraId="6857B442" w14:textId="77777777" w:rsidR="005F6C3F" w:rsidRDefault="005F6C3F">
            <w:pPr>
              <w:pStyle w:val="TableSideHeading"/>
              <w:rPr>
                <w:rtl/>
              </w:rPr>
            </w:pPr>
          </w:p>
        </w:tc>
        <w:tc>
          <w:tcPr>
            <w:tcW w:w="624" w:type="dxa"/>
          </w:tcPr>
          <w:p w14:paraId="07AB23EB" w14:textId="77777777" w:rsidR="005F6C3F" w:rsidRDefault="005F6C3F" w:rsidP="00F91C07">
            <w:pPr>
              <w:pStyle w:val="TableText"/>
            </w:pPr>
          </w:p>
        </w:tc>
        <w:tc>
          <w:tcPr>
            <w:tcW w:w="624" w:type="dxa"/>
          </w:tcPr>
          <w:p w14:paraId="4B8D9CFA" w14:textId="77777777" w:rsidR="005F6C3F" w:rsidRDefault="005F6C3F">
            <w:pPr>
              <w:pStyle w:val="TableText"/>
            </w:pPr>
          </w:p>
        </w:tc>
        <w:tc>
          <w:tcPr>
            <w:tcW w:w="624" w:type="dxa"/>
          </w:tcPr>
          <w:p w14:paraId="12CBFBEA" w14:textId="77777777" w:rsidR="005F6C3F" w:rsidRDefault="005F6C3F">
            <w:pPr>
              <w:pStyle w:val="TableText"/>
            </w:pPr>
          </w:p>
        </w:tc>
        <w:tc>
          <w:tcPr>
            <w:tcW w:w="624" w:type="dxa"/>
          </w:tcPr>
          <w:p w14:paraId="368BF25C" w14:textId="77777777" w:rsidR="005F6C3F" w:rsidRDefault="005F6C3F">
            <w:pPr>
              <w:pStyle w:val="TableText"/>
            </w:pPr>
          </w:p>
        </w:tc>
        <w:tc>
          <w:tcPr>
            <w:tcW w:w="624" w:type="dxa"/>
          </w:tcPr>
          <w:p w14:paraId="31DD8FA9" w14:textId="77777777" w:rsidR="005F6C3F" w:rsidRDefault="005F6C3F">
            <w:pPr>
              <w:pStyle w:val="TableText"/>
            </w:pPr>
          </w:p>
        </w:tc>
        <w:tc>
          <w:tcPr>
            <w:tcW w:w="624" w:type="dxa"/>
          </w:tcPr>
          <w:p w14:paraId="1BDD10E0" w14:textId="77777777" w:rsidR="005F6C3F" w:rsidRDefault="005F6C3F">
            <w:pPr>
              <w:pStyle w:val="TableText"/>
            </w:pPr>
          </w:p>
        </w:tc>
        <w:tc>
          <w:tcPr>
            <w:tcW w:w="4023" w:type="dxa"/>
            <w:gridSpan w:val="2"/>
          </w:tcPr>
          <w:p w14:paraId="0ADD29FC" w14:textId="0E2A0E72" w:rsidR="005F6C3F" w:rsidRDefault="005F6C3F" w:rsidP="00F91C07">
            <w:pPr>
              <w:pStyle w:val="TableBlock"/>
              <w:numPr>
                <w:ilvl w:val="0"/>
                <w:numId w:val="16"/>
              </w:numPr>
              <w:tabs>
                <w:tab w:val="left" w:pos="624"/>
              </w:tabs>
              <w:rPr>
                <w:rFonts w:ascii="Calibri" w:eastAsia="Calibri" w:hAnsi="Calibri"/>
                <w:sz w:val="26"/>
                <w:rtl/>
                <w:lang w:eastAsia="en-US"/>
              </w:rPr>
            </w:pPr>
            <w:r>
              <w:rPr>
                <w:rFonts w:ascii="Calibri" w:eastAsia="Calibri" w:hAnsi="Calibri" w:hint="cs"/>
                <w:sz w:val="26"/>
                <w:rtl/>
                <w:lang w:eastAsia="en-US"/>
              </w:rPr>
              <w:t xml:space="preserve">פרסום דברי שבח, אהדה או עידוד למעשה טרור, תמיכה או הזדהות עמו. </w:t>
            </w:r>
          </w:p>
        </w:tc>
      </w:tr>
      <w:tr w:rsidR="005F6C3F" w14:paraId="1CB27D58" w14:textId="77777777" w:rsidTr="00F91C07">
        <w:trPr>
          <w:cantSplit/>
        </w:trPr>
        <w:tc>
          <w:tcPr>
            <w:tcW w:w="1871" w:type="dxa"/>
          </w:tcPr>
          <w:p w14:paraId="5B818042" w14:textId="77777777" w:rsidR="005F6C3F" w:rsidRDefault="005F6C3F">
            <w:pPr>
              <w:pStyle w:val="TableSideHeading"/>
              <w:keepLines w:val="0"/>
            </w:pPr>
          </w:p>
        </w:tc>
        <w:tc>
          <w:tcPr>
            <w:tcW w:w="624" w:type="dxa"/>
          </w:tcPr>
          <w:p w14:paraId="12225B44" w14:textId="77777777" w:rsidR="005F6C3F" w:rsidRDefault="005F6C3F">
            <w:pPr>
              <w:pStyle w:val="TableText"/>
              <w:keepLines w:val="0"/>
            </w:pPr>
          </w:p>
        </w:tc>
        <w:tc>
          <w:tcPr>
            <w:tcW w:w="1872" w:type="dxa"/>
            <w:gridSpan w:val="3"/>
          </w:tcPr>
          <w:p w14:paraId="4B13F9C6" w14:textId="6D01C369" w:rsidR="005F6C3F" w:rsidRDefault="005F6C3F">
            <w:pPr>
              <w:pStyle w:val="TableInnerSideHeading"/>
            </w:pPr>
            <w:r>
              <w:rPr>
                <w:rFonts w:hint="cs"/>
                <w:rtl/>
              </w:rPr>
              <w:t>צו הגבלת תנאי הלוויה</w:t>
            </w:r>
          </w:p>
        </w:tc>
        <w:tc>
          <w:tcPr>
            <w:tcW w:w="624" w:type="dxa"/>
          </w:tcPr>
          <w:p w14:paraId="5861F200" w14:textId="77B2828F" w:rsidR="005F6C3F" w:rsidRDefault="005F6C3F">
            <w:pPr>
              <w:pStyle w:val="TableText"/>
            </w:pPr>
            <w:r>
              <w:rPr>
                <w:rFonts w:hint="cs"/>
                <w:rtl/>
              </w:rPr>
              <w:t>82ב.</w:t>
            </w:r>
          </w:p>
        </w:tc>
        <w:tc>
          <w:tcPr>
            <w:tcW w:w="4647" w:type="dxa"/>
            <w:gridSpan w:val="3"/>
          </w:tcPr>
          <w:p w14:paraId="408DD85F" w14:textId="46DDB0CC" w:rsidR="005F6C3F" w:rsidRDefault="005F6C3F" w:rsidP="00F91C07">
            <w:pPr>
              <w:pStyle w:val="TableBlock"/>
            </w:pPr>
            <w:r>
              <w:rPr>
                <w:rFonts w:hint="cs"/>
                <w:rtl/>
              </w:rPr>
              <w:t>מצא מפקד משטרת מחוז יסוד סביר לחשש שתהיה פגיעה בשל הלוויה או קבורה של מפגע, רשאי הוא, אם סבר כי הדבר דרוש באופן חיוני למניעתה, להורות בצו על אלה:</w:t>
            </w:r>
          </w:p>
        </w:tc>
      </w:tr>
      <w:tr w:rsidR="005F6C3F" w14:paraId="065892CD" w14:textId="77777777" w:rsidTr="00F91C07">
        <w:trPr>
          <w:cantSplit/>
        </w:trPr>
        <w:tc>
          <w:tcPr>
            <w:tcW w:w="1871" w:type="dxa"/>
          </w:tcPr>
          <w:p w14:paraId="41D456EE" w14:textId="77777777" w:rsidR="005F6C3F" w:rsidRDefault="005F6C3F">
            <w:pPr>
              <w:pStyle w:val="TableSideHeading"/>
            </w:pPr>
          </w:p>
        </w:tc>
        <w:tc>
          <w:tcPr>
            <w:tcW w:w="624" w:type="dxa"/>
          </w:tcPr>
          <w:p w14:paraId="0A17B39E" w14:textId="77777777" w:rsidR="005F6C3F" w:rsidRDefault="005F6C3F">
            <w:pPr>
              <w:pStyle w:val="TableText"/>
            </w:pPr>
          </w:p>
        </w:tc>
        <w:tc>
          <w:tcPr>
            <w:tcW w:w="624" w:type="dxa"/>
          </w:tcPr>
          <w:p w14:paraId="4A526EFE" w14:textId="77777777" w:rsidR="005F6C3F" w:rsidRDefault="005F6C3F">
            <w:pPr>
              <w:pStyle w:val="TableText"/>
            </w:pPr>
          </w:p>
        </w:tc>
        <w:tc>
          <w:tcPr>
            <w:tcW w:w="624" w:type="dxa"/>
          </w:tcPr>
          <w:p w14:paraId="5778E1C3" w14:textId="77777777" w:rsidR="005F6C3F" w:rsidRDefault="005F6C3F">
            <w:pPr>
              <w:pStyle w:val="TableText"/>
            </w:pPr>
          </w:p>
        </w:tc>
        <w:tc>
          <w:tcPr>
            <w:tcW w:w="624" w:type="dxa"/>
          </w:tcPr>
          <w:p w14:paraId="5379C75C" w14:textId="77777777" w:rsidR="005F6C3F" w:rsidRDefault="005F6C3F">
            <w:pPr>
              <w:pStyle w:val="TableText"/>
            </w:pPr>
          </w:p>
        </w:tc>
        <w:tc>
          <w:tcPr>
            <w:tcW w:w="624" w:type="dxa"/>
          </w:tcPr>
          <w:p w14:paraId="01E2063E" w14:textId="77777777" w:rsidR="005F6C3F" w:rsidRDefault="005F6C3F">
            <w:pPr>
              <w:pStyle w:val="TableText"/>
            </w:pPr>
          </w:p>
        </w:tc>
        <w:tc>
          <w:tcPr>
            <w:tcW w:w="624" w:type="dxa"/>
          </w:tcPr>
          <w:p w14:paraId="571628A0" w14:textId="77777777" w:rsidR="005F6C3F" w:rsidRDefault="005F6C3F">
            <w:pPr>
              <w:pStyle w:val="TableText"/>
            </w:pPr>
          </w:p>
        </w:tc>
        <w:tc>
          <w:tcPr>
            <w:tcW w:w="4023" w:type="dxa"/>
            <w:gridSpan w:val="2"/>
          </w:tcPr>
          <w:p w14:paraId="0821737F" w14:textId="2829BBE7" w:rsidR="005F6C3F" w:rsidRDefault="005F6C3F" w:rsidP="00F91C07">
            <w:pPr>
              <w:pStyle w:val="TableBlock"/>
            </w:pPr>
            <w:r>
              <w:rPr>
                <w:rFonts w:hint="cs"/>
                <w:rtl/>
              </w:rPr>
              <w:t xml:space="preserve">(1) </w:t>
            </w:r>
            <w:r>
              <w:rPr>
                <w:rtl/>
              </w:rPr>
              <w:tab/>
            </w:r>
            <w:r>
              <w:rPr>
                <w:rFonts w:hint="cs"/>
                <w:rtl/>
              </w:rPr>
              <w:t xml:space="preserve">קביעת </w:t>
            </w:r>
            <w:r w:rsidRPr="00FA7692">
              <w:rPr>
                <w:rFonts w:hint="cs"/>
                <w:sz w:val="26"/>
                <w:rtl/>
              </w:rPr>
              <w:t>תנאים לעריכת ההלוויה והקבורה, לרבות מספר המשתתפים וזהותם, מסלול הלוויה, מקום הקבורה, שעת הלוויה ומועדה;</w:t>
            </w:r>
          </w:p>
        </w:tc>
      </w:tr>
      <w:tr w:rsidR="00EA0448" w14:paraId="01997057" w14:textId="77777777" w:rsidTr="00F91C07">
        <w:trPr>
          <w:cantSplit/>
        </w:trPr>
        <w:tc>
          <w:tcPr>
            <w:tcW w:w="1871" w:type="dxa"/>
          </w:tcPr>
          <w:p w14:paraId="51790C08" w14:textId="77777777" w:rsidR="00EA0448" w:rsidRDefault="00EA0448">
            <w:pPr>
              <w:pStyle w:val="TableSideHeading"/>
            </w:pPr>
          </w:p>
        </w:tc>
        <w:tc>
          <w:tcPr>
            <w:tcW w:w="624" w:type="dxa"/>
          </w:tcPr>
          <w:p w14:paraId="2BCF8046" w14:textId="77777777" w:rsidR="00EA0448" w:rsidRDefault="00EA0448" w:rsidP="00F91C07">
            <w:pPr>
              <w:pStyle w:val="TableText"/>
            </w:pPr>
          </w:p>
        </w:tc>
        <w:tc>
          <w:tcPr>
            <w:tcW w:w="624" w:type="dxa"/>
          </w:tcPr>
          <w:p w14:paraId="5278D073" w14:textId="77777777" w:rsidR="00EA0448" w:rsidRDefault="00EA0448">
            <w:pPr>
              <w:pStyle w:val="TableText"/>
            </w:pPr>
          </w:p>
        </w:tc>
        <w:tc>
          <w:tcPr>
            <w:tcW w:w="624" w:type="dxa"/>
          </w:tcPr>
          <w:p w14:paraId="7FE1AF81" w14:textId="77777777" w:rsidR="00EA0448" w:rsidRDefault="00EA0448">
            <w:pPr>
              <w:pStyle w:val="TableText"/>
            </w:pPr>
          </w:p>
        </w:tc>
        <w:tc>
          <w:tcPr>
            <w:tcW w:w="624" w:type="dxa"/>
          </w:tcPr>
          <w:p w14:paraId="1016DF01" w14:textId="77777777" w:rsidR="00EA0448" w:rsidRDefault="00EA0448">
            <w:pPr>
              <w:pStyle w:val="TableText"/>
            </w:pPr>
          </w:p>
        </w:tc>
        <w:tc>
          <w:tcPr>
            <w:tcW w:w="624" w:type="dxa"/>
          </w:tcPr>
          <w:p w14:paraId="5875D5A5" w14:textId="77777777" w:rsidR="00EA0448" w:rsidRDefault="00EA0448">
            <w:pPr>
              <w:pStyle w:val="TableText"/>
            </w:pPr>
          </w:p>
        </w:tc>
        <w:tc>
          <w:tcPr>
            <w:tcW w:w="624" w:type="dxa"/>
          </w:tcPr>
          <w:p w14:paraId="3B920231" w14:textId="77777777" w:rsidR="00EA0448" w:rsidRDefault="00EA0448">
            <w:pPr>
              <w:pStyle w:val="TableText"/>
            </w:pPr>
          </w:p>
        </w:tc>
        <w:tc>
          <w:tcPr>
            <w:tcW w:w="4023" w:type="dxa"/>
            <w:gridSpan w:val="2"/>
          </w:tcPr>
          <w:p w14:paraId="6B6AF72D" w14:textId="308A817E" w:rsidR="00EA0448" w:rsidRDefault="00EA0448" w:rsidP="00F91C07">
            <w:pPr>
              <w:pStyle w:val="TableBlock"/>
              <w:rPr>
                <w:rtl/>
              </w:rPr>
            </w:pPr>
            <w:r>
              <w:rPr>
                <w:rFonts w:hint="cs"/>
                <w:rtl/>
              </w:rPr>
              <w:t xml:space="preserve">(2) </w:t>
            </w:r>
            <w:r>
              <w:rPr>
                <w:rtl/>
              </w:rPr>
              <w:tab/>
            </w:r>
            <w:r>
              <w:rPr>
                <w:rFonts w:hint="cs"/>
                <w:rtl/>
              </w:rPr>
              <w:t xml:space="preserve">עיכוב מסירת </w:t>
            </w:r>
            <w:r w:rsidR="00C828A9">
              <w:rPr>
                <w:rFonts w:hint="cs"/>
                <w:rtl/>
              </w:rPr>
              <w:t>גופת המפגע</w:t>
            </w:r>
            <w:r>
              <w:rPr>
                <w:rFonts w:hint="cs"/>
                <w:rtl/>
              </w:rPr>
              <w:t xml:space="preserve"> עד להתקיים אחד מאלה:</w:t>
            </w:r>
          </w:p>
        </w:tc>
      </w:tr>
      <w:tr w:rsidR="00EA0448" w14:paraId="0E38DDAE" w14:textId="77777777" w:rsidTr="00F91C07">
        <w:trPr>
          <w:cantSplit/>
        </w:trPr>
        <w:tc>
          <w:tcPr>
            <w:tcW w:w="1871" w:type="dxa"/>
          </w:tcPr>
          <w:p w14:paraId="0C3DC4E3" w14:textId="77777777" w:rsidR="00EA0448" w:rsidRDefault="00EA0448">
            <w:pPr>
              <w:pStyle w:val="TableSideHeading"/>
            </w:pPr>
          </w:p>
        </w:tc>
        <w:tc>
          <w:tcPr>
            <w:tcW w:w="624" w:type="dxa"/>
          </w:tcPr>
          <w:p w14:paraId="38B6F6E2" w14:textId="77777777" w:rsidR="00EA0448" w:rsidRDefault="00EA0448">
            <w:pPr>
              <w:pStyle w:val="TableText"/>
            </w:pPr>
          </w:p>
        </w:tc>
        <w:tc>
          <w:tcPr>
            <w:tcW w:w="624" w:type="dxa"/>
          </w:tcPr>
          <w:p w14:paraId="5E29FB57" w14:textId="77777777" w:rsidR="00EA0448" w:rsidRDefault="00EA0448">
            <w:pPr>
              <w:pStyle w:val="TableText"/>
            </w:pPr>
          </w:p>
        </w:tc>
        <w:tc>
          <w:tcPr>
            <w:tcW w:w="624" w:type="dxa"/>
          </w:tcPr>
          <w:p w14:paraId="0B9C1E23" w14:textId="77777777" w:rsidR="00EA0448" w:rsidRDefault="00EA0448">
            <w:pPr>
              <w:pStyle w:val="TableText"/>
            </w:pPr>
          </w:p>
        </w:tc>
        <w:tc>
          <w:tcPr>
            <w:tcW w:w="624" w:type="dxa"/>
          </w:tcPr>
          <w:p w14:paraId="7F3CDCE8" w14:textId="77777777" w:rsidR="00EA0448" w:rsidRDefault="00EA0448">
            <w:pPr>
              <w:pStyle w:val="TableText"/>
            </w:pPr>
          </w:p>
        </w:tc>
        <w:tc>
          <w:tcPr>
            <w:tcW w:w="624" w:type="dxa"/>
          </w:tcPr>
          <w:p w14:paraId="5CF3B953" w14:textId="77777777" w:rsidR="00EA0448" w:rsidRDefault="00EA0448">
            <w:pPr>
              <w:pStyle w:val="TableText"/>
            </w:pPr>
          </w:p>
        </w:tc>
        <w:tc>
          <w:tcPr>
            <w:tcW w:w="624" w:type="dxa"/>
          </w:tcPr>
          <w:p w14:paraId="0D198789" w14:textId="77777777" w:rsidR="00EA0448" w:rsidRDefault="00EA0448">
            <w:pPr>
              <w:pStyle w:val="TableText"/>
            </w:pPr>
          </w:p>
        </w:tc>
        <w:tc>
          <w:tcPr>
            <w:tcW w:w="624" w:type="dxa"/>
          </w:tcPr>
          <w:p w14:paraId="27715934" w14:textId="77777777" w:rsidR="00EA0448" w:rsidRDefault="00EA0448">
            <w:pPr>
              <w:pStyle w:val="TableText"/>
            </w:pPr>
          </w:p>
        </w:tc>
        <w:tc>
          <w:tcPr>
            <w:tcW w:w="3399" w:type="dxa"/>
          </w:tcPr>
          <w:p w14:paraId="4277EFD7" w14:textId="60FAD80E" w:rsidR="00EA0448" w:rsidRDefault="00EA0448" w:rsidP="00F91C07">
            <w:pPr>
              <w:pStyle w:val="TableBlock"/>
            </w:pPr>
            <w:r>
              <w:rPr>
                <w:rFonts w:hint="cs"/>
                <w:rtl/>
              </w:rPr>
              <w:t xml:space="preserve">(א) </w:t>
            </w:r>
            <w:r>
              <w:rPr>
                <w:rtl/>
              </w:rPr>
              <w:tab/>
            </w:r>
            <w:r>
              <w:rPr>
                <w:rFonts w:hint="cs"/>
                <w:rtl/>
              </w:rPr>
              <w:t>עמידה בתנאים כאמור בפסקה (1);</w:t>
            </w:r>
          </w:p>
        </w:tc>
      </w:tr>
      <w:tr w:rsidR="00EA0448" w14:paraId="328317B3" w14:textId="77777777" w:rsidTr="00F91C07">
        <w:trPr>
          <w:cantSplit/>
        </w:trPr>
        <w:tc>
          <w:tcPr>
            <w:tcW w:w="1871" w:type="dxa"/>
          </w:tcPr>
          <w:p w14:paraId="4804F7CF" w14:textId="77777777" w:rsidR="00EA0448" w:rsidRDefault="00EA0448">
            <w:pPr>
              <w:pStyle w:val="TableSideHeading"/>
              <w:rPr>
                <w:rtl/>
              </w:rPr>
            </w:pPr>
          </w:p>
        </w:tc>
        <w:tc>
          <w:tcPr>
            <w:tcW w:w="624" w:type="dxa"/>
          </w:tcPr>
          <w:p w14:paraId="01A3A714" w14:textId="77777777" w:rsidR="00EA0448" w:rsidRDefault="00EA0448" w:rsidP="00F91C07">
            <w:pPr>
              <w:pStyle w:val="TableText"/>
            </w:pPr>
          </w:p>
        </w:tc>
        <w:tc>
          <w:tcPr>
            <w:tcW w:w="624" w:type="dxa"/>
          </w:tcPr>
          <w:p w14:paraId="7E4D6CCC" w14:textId="77777777" w:rsidR="00EA0448" w:rsidRDefault="00EA0448">
            <w:pPr>
              <w:pStyle w:val="TableText"/>
            </w:pPr>
          </w:p>
        </w:tc>
        <w:tc>
          <w:tcPr>
            <w:tcW w:w="624" w:type="dxa"/>
          </w:tcPr>
          <w:p w14:paraId="7B53D9B3" w14:textId="77777777" w:rsidR="00EA0448" w:rsidRDefault="00EA0448">
            <w:pPr>
              <w:pStyle w:val="TableText"/>
            </w:pPr>
          </w:p>
        </w:tc>
        <w:tc>
          <w:tcPr>
            <w:tcW w:w="624" w:type="dxa"/>
          </w:tcPr>
          <w:p w14:paraId="5AD39CB0" w14:textId="77777777" w:rsidR="00EA0448" w:rsidRDefault="00EA0448">
            <w:pPr>
              <w:pStyle w:val="TableText"/>
            </w:pPr>
          </w:p>
        </w:tc>
        <w:tc>
          <w:tcPr>
            <w:tcW w:w="624" w:type="dxa"/>
          </w:tcPr>
          <w:p w14:paraId="032F051A" w14:textId="77777777" w:rsidR="00EA0448" w:rsidRDefault="00EA0448">
            <w:pPr>
              <w:pStyle w:val="TableText"/>
            </w:pPr>
          </w:p>
        </w:tc>
        <w:tc>
          <w:tcPr>
            <w:tcW w:w="624" w:type="dxa"/>
          </w:tcPr>
          <w:p w14:paraId="3DE35EE8" w14:textId="77777777" w:rsidR="00EA0448" w:rsidRDefault="00EA0448">
            <w:pPr>
              <w:pStyle w:val="TableText"/>
            </w:pPr>
          </w:p>
        </w:tc>
        <w:tc>
          <w:tcPr>
            <w:tcW w:w="624" w:type="dxa"/>
          </w:tcPr>
          <w:p w14:paraId="56BCC76B" w14:textId="77777777" w:rsidR="00EA0448" w:rsidRDefault="00EA0448">
            <w:pPr>
              <w:pStyle w:val="TableText"/>
            </w:pPr>
          </w:p>
        </w:tc>
        <w:tc>
          <w:tcPr>
            <w:tcW w:w="3399" w:type="dxa"/>
          </w:tcPr>
          <w:p w14:paraId="233B3C40" w14:textId="6CCC88DD" w:rsidR="00EA0448" w:rsidRDefault="00EA0448" w:rsidP="00F91C07">
            <w:pPr>
              <w:pStyle w:val="TableBlock"/>
              <w:rPr>
                <w:rtl/>
              </w:rPr>
            </w:pPr>
            <w:r>
              <w:rPr>
                <w:rFonts w:hint="cs"/>
                <w:rtl/>
              </w:rPr>
              <w:t>(ב)</w:t>
            </w:r>
            <w:r>
              <w:rPr>
                <w:rtl/>
              </w:rPr>
              <w:tab/>
            </w:r>
            <w:r>
              <w:rPr>
                <w:rFonts w:hint="cs"/>
                <w:rtl/>
              </w:rPr>
              <w:t>קבלת התחייבות למילוי התנאים;</w:t>
            </w:r>
          </w:p>
        </w:tc>
      </w:tr>
      <w:tr w:rsidR="00EA0448" w14:paraId="0917E994" w14:textId="77777777" w:rsidTr="00F91C07">
        <w:trPr>
          <w:cantSplit/>
        </w:trPr>
        <w:tc>
          <w:tcPr>
            <w:tcW w:w="1871" w:type="dxa"/>
          </w:tcPr>
          <w:p w14:paraId="15578128" w14:textId="77777777" w:rsidR="00EA0448" w:rsidRDefault="00EA0448">
            <w:pPr>
              <w:pStyle w:val="TableSideHeading"/>
              <w:rPr>
                <w:rtl/>
              </w:rPr>
            </w:pPr>
          </w:p>
        </w:tc>
        <w:tc>
          <w:tcPr>
            <w:tcW w:w="624" w:type="dxa"/>
          </w:tcPr>
          <w:p w14:paraId="5902A1F6" w14:textId="77777777" w:rsidR="00EA0448" w:rsidRDefault="00EA0448" w:rsidP="00F91C07">
            <w:pPr>
              <w:pStyle w:val="TableText"/>
            </w:pPr>
          </w:p>
        </w:tc>
        <w:tc>
          <w:tcPr>
            <w:tcW w:w="624" w:type="dxa"/>
          </w:tcPr>
          <w:p w14:paraId="550C50AE" w14:textId="77777777" w:rsidR="00EA0448" w:rsidRDefault="00EA0448">
            <w:pPr>
              <w:pStyle w:val="TableText"/>
            </w:pPr>
          </w:p>
        </w:tc>
        <w:tc>
          <w:tcPr>
            <w:tcW w:w="624" w:type="dxa"/>
          </w:tcPr>
          <w:p w14:paraId="547FF5C8" w14:textId="77777777" w:rsidR="00EA0448" w:rsidRDefault="00EA0448">
            <w:pPr>
              <w:pStyle w:val="TableText"/>
            </w:pPr>
          </w:p>
        </w:tc>
        <w:tc>
          <w:tcPr>
            <w:tcW w:w="624" w:type="dxa"/>
          </w:tcPr>
          <w:p w14:paraId="4C04D9F0" w14:textId="77777777" w:rsidR="00EA0448" w:rsidRDefault="00EA0448">
            <w:pPr>
              <w:pStyle w:val="TableText"/>
            </w:pPr>
          </w:p>
        </w:tc>
        <w:tc>
          <w:tcPr>
            <w:tcW w:w="624" w:type="dxa"/>
          </w:tcPr>
          <w:p w14:paraId="7129B5AF" w14:textId="77777777" w:rsidR="00EA0448" w:rsidRDefault="00EA0448">
            <w:pPr>
              <w:pStyle w:val="TableText"/>
            </w:pPr>
          </w:p>
        </w:tc>
        <w:tc>
          <w:tcPr>
            <w:tcW w:w="624" w:type="dxa"/>
          </w:tcPr>
          <w:p w14:paraId="682BF12F" w14:textId="77777777" w:rsidR="00EA0448" w:rsidRDefault="00EA0448">
            <w:pPr>
              <w:pStyle w:val="TableText"/>
            </w:pPr>
          </w:p>
        </w:tc>
        <w:tc>
          <w:tcPr>
            <w:tcW w:w="624" w:type="dxa"/>
          </w:tcPr>
          <w:p w14:paraId="78D08697" w14:textId="77777777" w:rsidR="00EA0448" w:rsidRDefault="00EA0448">
            <w:pPr>
              <w:pStyle w:val="TableText"/>
            </w:pPr>
          </w:p>
        </w:tc>
        <w:tc>
          <w:tcPr>
            <w:tcW w:w="3399" w:type="dxa"/>
          </w:tcPr>
          <w:p w14:paraId="72C84BFC" w14:textId="5C236B3F" w:rsidR="00EA0448" w:rsidRDefault="00EA0448" w:rsidP="00F91C07">
            <w:pPr>
              <w:pStyle w:val="TableBlock"/>
              <w:numPr>
                <w:ilvl w:val="0"/>
                <w:numId w:val="16"/>
              </w:numPr>
              <w:tabs>
                <w:tab w:val="left" w:pos="624"/>
              </w:tabs>
              <w:rPr>
                <w:rtl/>
              </w:rPr>
            </w:pPr>
            <w:r>
              <w:rPr>
                <w:rFonts w:hint="cs"/>
                <w:rtl/>
              </w:rPr>
              <w:t>ביצוע הפקדת ערובה כספית כתנאי לקיום התנאים."</w:t>
            </w:r>
            <w:r>
              <w:rPr>
                <w:rtl/>
              </w:rPr>
              <w:tab/>
            </w:r>
          </w:p>
        </w:tc>
      </w:tr>
    </w:tbl>
    <w:p w14:paraId="7F6961CA" w14:textId="77777777" w:rsidR="002D1EE3" w:rsidRDefault="002D1EE3" w:rsidP="002D1EE3">
      <w:pPr>
        <w:pStyle w:val="HeadDivreiHesber"/>
        <w:rPr>
          <w:rtl/>
        </w:rPr>
      </w:pPr>
      <w:r w:rsidRPr="0027450A">
        <w:rPr>
          <w:rFonts w:hint="cs"/>
          <w:rtl/>
        </w:rPr>
        <w:t>דברי הסבר</w:t>
      </w:r>
    </w:p>
    <w:p w14:paraId="781D53F6" w14:textId="134BE66A" w:rsidR="00FA7692" w:rsidRPr="00FA7692" w:rsidRDefault="00FA7692" w:rsidP="0052437D">
      <w:pPr>
        <w:pStyle w:val="Hesber1st"/>
        <w:tabs>
          <w:tab w:val="clear" w:pos="680"/>
        </w:tabs>
        <w:rPr>
          <w:rtl/>
        </w:rPr>
      </w:pPr>
      <w:r w:rsidRPr="00FA7692">
        <w:rPr>
          <w:rFonts w:hint="cs"/>
          <w:rtl/>
        </w:rPr>
        <w:t xml:space="preserve">מדינת ישראל מתמודדת מאז היווסדה עם טרור אכזרי ואידיאולוגיות קיצוניות שמעודדות ומצדיקות אותו. בשנים האחרונות, עם התפתחות הטכנולוגיה והרשתות החברתיות, הפכה האפשרות להפיץ את </w:t>
      </w:r>
      <w:r w:rsidRPr="00FA7692">
        <w:rPr>
          <w:rFonts w:hint="cs"/>
          <w:rtl/>
        </w:rPr>
        <w:lastRenderedPageBreak/>
        <w:t xml:space="preserve">אותן אידיאולוגיות לקלה ונגישה יותר למי שמעוניין בכך. </w:t>
      </w:r>
      <w:r w:rsidR="0052437D">
        <w:rPr>
          <w:rFonts w:hint="cs"/>
          <w:rtl/>
        </w:rPr>
        <w:t>בשל היותה דמוקרטיה</w:t>
      </w:r>
      <w:r w:rsidR="0052437D" w:rsidRPr="00FA7692">
        <w:rPr>
          <w:rFonts w:hint="cs"/>
          <w:rtl/>
        </w:rPr>
        <w:t xml:space="preserve"> </w:t>
      </w:r>
      <w:r w:rsidRPr="00FA7692">
        <w:rPr>
          <w:rFonts w:hint="cs"/>
          <w:rtl/>
        </w:rPr>
        <w:t>מתגוננת, מדינת ישראל מחויבת לבחון כל העת את הדרכים העומדות לרשותה כדי להתמודד עם האתגרים המשתנים שמציב בפניה איום הטרור.</w:t>
      </w:r>
    </w:p>
    <w:p w14:paraId="182AFA15" w14:textId="2D303875" w:rsidR="00FA7692" w:rsidRPr="00FA7692" w:rsidRDefault="00FA7692" w:rsidP="00FA7692">
      <w:pPr>
        <w:pStyle w:val="Hesber"/>
        <w:rPr>
          <w:rtl/>
        </w:rPr>
      </w:pPr>
      <w:r w:rsidRPr="00FA7692">
        <w:rPr>
          <w:rFonts w:hint="cs"/>
          <w:rtl/>
        </w:rPr>
        <w:t>בשנים האחרונות אנו עדים לתופעה הולכת וגוברת, שבמסגרתה לאחר ביצוע פיגוע טרור, מתבצעים גילויי תמיכה, אהדה, עידוד או הזדהות עם מעשה הטרור, עם המפגע, הארגון שאליו השתייך או האידיאולוגיה הרצחנית שבשמה ביצע את מעשה הטרור. במיוחד, ניתן לכך ביטוי במהלך טקסי הקבורה של אותם מפגעים. לא אחת</w:t>
      </w:r>
      <w:r w:rsidR="0052437D">
        <w:rPr>
          <w:rFonts w:hint="cs"/>
          <w:rtl/>
        </w:rPr>
        <w:t>,</w:t>
      </w:r>
      <w:r w:rsidRPr="00FA7692">
        <w:rPr>
          <w:rFonts w:hint="cs"/>
          <w:rtl/>
        </w:rPr>
        <w:t xml:space="preserve"> אירעו מקרים שבהם הונפו כרזות, נשמעו קריאות ונישאו נאומים המביעים תמיכה בפיגוע שבוצע או הקוראים לביצועם של מעשי טרור נוספים.</w:t>
      </w:r>
    </w:p>
    <w:p w14:paraId="43C8B8E4" w14:textId="0882FDD6" w:rsidR="00FA7692" w:rsidRPr="00FA7692" w:rsidRDefault="0052437D" w:rsidP="00DC3EC7">
      <w:pPr>
        <w:pStyle w:val="Hesber"/>
        <w:rPr>
          <w:rtl/>
        </w:rPr>
      </w:pPr>
      <w:r>
        <w:rPr>
          <w:rFonts w:hint="cs"/>
          <w:rtl/>
        </w:rPr>
        <w:t>עם</w:t>
      </w:r>
      <w:r w:rsidRPr="00FA7692">
        <w:rPr>
          <w:rFonts w:hint="cs"/>
          <w:rtl/>
        </w:rPr>
        <w:t xml:space="preserve"> </w:t>
      </w:r>
      <w:r w:rsidR="00FA7692" w:rsidRPr="00FA7692">
        <w:rPr>
          <w:rFonts w:hint="cs"/>
          <w:rtl/>
        </w:rPr>
        <w:t xml:space="preserve">התגברות אירועים אלו לכדי תופעה שיש בה כדי לסכן באופן ממשי את שלום הציבור ואת ביטחונו, בשל החשש שההסתה אשר נשמעת באותם טקסי קבורה תביא אחרים </w:t>
      </w:r>
      <w:r w:rsidR="00FA7692" w:rsidRPr="00FA7692">
        <w:rPr>
          <w:rtl/>
        </w:rPr>
        <w:t>–</w:t>
      </w:r>
      <w:r w:rsidR="00FA7692" w:rsidRPr="00FA7692">
        <w:rPr>
          <w:rFonts w:hint="cs"/>
          <w:rtl/>
        </w:rPr>
        <w:t xml:space="preserve"> בין אם מושפעים ישירים ובין אם מושפעים עקיפים באמצעות הרשתות החברתיות ואמצעי המדיה האחרים </w:t>
      </w:r>
      <w:r w:rsidR="00FA7692" w:rsidRPr="00FA7692">
        <w:rPr>
          <w:rtl/>
        </w:rPr>
        <w:t>–</w:t>
      </w:r>
      <w:r w:rsidR="00FA7692" w:rsidRPr="00FA7692">
        <w:rPr>
          <w:rFonts w:hint="cs"/>
          <w:rtl/>
        </w:rPr>
        <w:t xml:space="preserve"> לבצע מעשי טרור מתוך הזדהות או רצון לחקות את המפגע, הנחה השר לביטחון הפנים את משטרת ישראל להפעיל את סמכותה הקבועה בסעיפים 3 ו-4א לפקודת המשטרה [נוסח חדש], </w:t>
      </w:r>
      <w:r>
        <w:rPr>
          <w:rFonts w:hint="cs"/>
          <w:rtl/>
        </w:rPr>
        <w:t>ה</w:t>
      </w:r>
      <w:r w:rsidR="00FA7692" w:rsidRPr="00FA7692">
        <w:rPr>
          <w:rFonts w:hint="cs"/>
          <w:rtl/>
        </w:rPr>
        <w:t>תשל"א</w:t>
      </w:r>
      <w:r>
        <w:rPr>
          <w:rFonts w:hint="eastAsia"/>
          <w:rtl/>
        </w:rPr>
        <w:t>–</w:t>
      </w:r>
      <w:r w:rsidR="00FA7692" w:rsidRPr="00FA7692">
        <w:rPr>
          <w:rFonts w:hint="cs"/>
          <w:rtl/>
        </w:rPr>
        <w:t xml:space="preserve">1971, </w:t>
      </w:r>
      <w:r w:rsidR="00DC3EC7">
        <w:rPr>
          <w:rFonts w:hint="cs"/>
          <w:rtl/>
        </w:rPr>
        <w:t>כדי</w:t>
      </w:r>
      <w:r w:rsidR="00FA7692" w:rsidRPr="00FA7692">
        <w:rPr>
          <w:rFonts w:hint="cs"/>
          <w:rtl/>
        </w:rPr>
        <w:t xml:space="preserve"> למנוע את העברת גופות אותם מפגעים לקבורה, עד להתמלאות תנאים שיש בהם כדי להבטיח שטקס הקבורה לא יהפוך למפגן של הסתה והזדהות עם מעשה טרור או עם המפגע.</w:t>
      </w:r>
    </w:p>
    <w:p w14:paraId="0669E4B0" w14:textId="1895CA5E" w:rsidR="00FA7692" w:rsidRPr="00FA7692" w:rsidRDefault="00FA7692" w:rsidP="00DC3EC7">
      <w:pPr>
        <w:pStyle w:val="Hesber"/>
        <w:rPr>
          <w:rtl/>
        </w:rPr>
      </w:pPr>
      <w:r w:rsidRPr="00FA7692">
        <w:rPr>
          <w:rFonts w:hint="cs"/>
          <w:rtl/>
        </w:rPr>
        <w:t xml:space="preserve">במסגרת בג"ץ 5887/17 </w:t>
      </w:r>
      <w:r w:rsidRPr="00DC3EC7">
        <w:rPr>
          <w:rFonts w:hint="cs"/>
          <w:b/>
          <w:bCs/>
          <w:rtl/>
        </w:rPr>
        <w:t>ג'בארין נ' משטרת ישראל</w:t>
      </w:r>
      <w:r w:rsidRPr="00FA7692">
        <w:rPr>
          <w:rFonts w:hint="cs"/>
          <w:rtl/>
        </w:rPr>
        <w:t xml:space="preserve">, </w:t>
      </w:r>
      <w:r w:rsidR="00DC3EC7">
        <w:rPr>
          <w:rFonts w:hint="cs"/>
          <w:rtl/>
        </w:rPr>
        <w:t>ש</w:t>
      </w:r>
      <w:r w:rsidR="0052437D">
        <w:rPr>
          <w:rFonts w:hint="cs"/>
          <w:rtl/>
        </w:rPr>
        <w:t>ניתן בעקבות עתירה כנגד החלטת המשטרה לדרוש התחייבויות שונות בטרם תעביר את גופות המחבלים שביצעו את</w:t>
      </w:r>
      <w:r w:rsidRPr="00FA7692">
        <w:rPr>
          <w:rFonts w:hint="cs"/>
          <w:rtl/>
        </w:rPr>
        <w:t xml:space="preserve"> הפיגוע בהר הבית בו נרצחו שני שוטרי משמר הגבול, רס"מ האיל סתאווי ורס"מ כמיל שנאן </w:t>
      </w:r>
      <w:r w:rsidR="0052437D">
        <w:rPr>
          <w:rFonts w:hint="cs"/>
          <w:rtl/>
        </w:rPr>
        <w:t>זכרונם לברכה</w:t>
      </w:r>
      <w:r w:rsidRPr="00FA7692">
        <w:rPr>
          <w:rFonts w:hint="cs"/>
          <w:rtl/>
        </w:rPr>
        <w:t xml:space="preserve">, נפסק כי </w:t>
      </w:r>
      <w:r w:rsidR="00E94B41">
        <w:rPr>
          <w:rFonts w:hint="cs"/>
          <w:rtl/>
        </w:rPr>
        <w:t xml:space="preserve">הסעיפים הנזכרים לעיל אינם מהווים מקור סמכות למשטרה לשם עיכוב העברת גופות הפגעים לקבורה, וכי נדרשת הסכמה מפורשת בחוק לצורך הפעלת סמכות זו. </w:t>
      </w:r>
    </w:p>
    <w:p w14:paraId="2776EFF5" w14:textId="03E87EAA" w:rsidR="00FA7692" w:rsidRPr="00FA7692" w:rsidRDefault="00FA7692" w:rsidP="00DC3EC7">
      <w:pPr>
        <w:pStyle w:val="Hesber"/>
        <w:rPr>
          <w:rtl/>
        </w:rPr>
      </w:pPr>
      <w:r w:rsidRPr="00FA7692">
        <w:rPr>
          <w:rFonts w:hint="cs"/>
          <w:rtl/>
        </w:rPr>
        <w:t xml:space="preserve">הצעת חוק זו </w:t>
      </w:r>
      <w:r w:rsidR="00DC3EC7">
        <w:rPr>
          <w:rFonts w:hint="cs"/>
          <w:rtl/>
        </w:rPr>
        <w:t>נועדה</w:t>
      </w:r>
      <w:r w:rsidRPr="00FA7692">
        <w:rPr>
          <w:rFonts w:hint="cs"/>
          <w:rtl/>
        </w:rPr>
        <w:t xml:space="preserve"> לתקן את </w:t>
      </w:r>
      <w:r w:rsidR="0052437D" w:rsidRPr="00FA7692">
        <w:rPr>
          <w:rFonts w:hint="cs"/>
          <w:rtl/>
        </w:rPr>
        <w:t>ה</w:t>
      </w:r>
      <w:r w:rsidR="0052437D">
        <w:rPr>
          <w:rFonts w:hint="cs"/>
          <w:rtl/>
        </w:rPr>
        <w:t>הסדר</w:t>
      </w:r>
      <w:r w:rsidR="0052437D" w:rsidRPr="00FA7692">
        <w:rPr>
          <w:rFonts w:hint="cs"/>
          <w:rtl/>
        </w:rPr>
        <w:t xml:space="preserve"> </w:t>
      </w:r>
      <w:r w:rsidRPr="00FA7692">
        <w:rPr>
          <w:rFonts w:hint="cs"/>
          <w:rtl/>
        </w:rPr>
        <w:t>החוקי בהתאם לפסיקת בג"ץ, ולקבוע בפקודת המשטרה סמכות מפורשת למפקד מחוז במשטרה</w:t>
      </w:r>
      <w:r w:rsidR="0052437D">
        <w:rPr>
          <w:rFonts w:hint="cs"/>
          <w:rtl/>
        </w:rPr>
        <w:t xml:space="preserve"> להורות כל קביעת תנאים שללא התקיימותם לא תתאפשר העברת גופת המפגע לקבורה,</w:t>
      </w:r>
      <w:r w:rsidRPr="00FA7692">
        <w:rPr>
          <w:rFonts w:hint="cs"/>
          <w:rtl/>
        </w:rPr>
        <w:t xml:space="preserve"> </w:t>
      </w:r>
      <w:r w:rsidR="0052437D">
        <w:rPr>
          <w:rFonts w:hint="cs"/>
          <w:rtl/>
        </w:rPr>
        <w:t>אם קיים</w:t>
      </w:r>
      <w:r w:rsidR="0052437D" w:rsidRPr="00FA7692">
        <w:rPr>
          <w:rFonts w:hint="cs"/>
          <w:rtl/>
        </w:rPr>
        <w:t xml:space="preserve"> </w:t>
      </w:r>
      <w:r w:rsidRPr="00FA7692">
        <w:rPr>
          <w:rFonts w:hint="cs"/>
          <w:rtl/>
        </w:rPr>
        <w:t xml:space="preserve">בעיניו </w:t>
      </w:r>
      <w:r w:rsidR="0052437D">
        <w:rPr>
          <w:rFonts w:hint="cs"/>
          <w:rtl/>
        </w:rPr>
        <w:t xml:space="preserve">יסוד </w:t>
      </w:r>
      <w:r w:rsidRPr="00FA7692">
        <w:rPr>
          <w:rFonts w:hint="cs"/>
          <w:rtl/>
        </w:rPr>
        <w:t>סביר</w:t>
      </w:r>
      <w:r w:rsidR="0052437D">
        <w:rPr>
          <w:rFonts w:hint="cs"/>
          <w:rtl/>
        </w:rPr>
        <w:t xml:space="preserve"> לחשד</w:t>
      </w:r>
      <w:r w:rsidRPr="00FA7692">
        <w:rPr>
          <w:rFonts w:hint="cs"/>
          <w:rtl/>
        </w:rPr>
        <w:t xml:space="preserve"> לכך שיתבצע מעשה טרור, </w:t>
      </w:r>
      <w:r w:rsidR="0052437D">
        <w:rPr>
          <w:rFonts w:hint="cs"/>
          <w:rtl/>
        </w:rPr>
        <w:t>תתרחש</w:t>
      </w:r>
      <w:r w:rsidR="0052437D" w:rsidRPr="00FA7692">
        <w:rPr>
          <w:rFonts w:hint="cs"/>
          <w:rtl/>
        </w:rPr>
        <w:t xml:space="preserve"> </w:t>
      </w:r>
      <w:r w:rsidRPr="00FA7692">
        <w:rPr>
          <w:rFonts w:hint="cs"/>
          <w:rtl/>
        </w:rPr>
        <w:t>פגיעה בב</w:t>
      </w:r>
      <w:r>
        <w:rPr>
          <w:rFonts w:hint="cs"/>
          <w:rtl/>
        </w:rPr>
        <w:t>י</w:t>
      </w:r>
      <w:r w:rsidRPr="00FA7692">
        <w:rPr>
          <w:rFonts w:hint="cs"/>
          <w:rtl/>
        </w:rPr>
        <w:t xml:space="preserve">טחון הנפש או </w:t>
      </w:r>
      <w:r w:rsidR="0052437D">
        <w:rPr>
          <w:rFonts w:hint="cs"/>
          <w:rtl/>
        </w:rPr>
        <w:t>יתפרסמו דברי</w:t>
      </w:r>
      <w:r w:rsidR="0052437D" w:rsidRPr="00FA7692">
        <w:rPr>
          <w:rFonts w:hint="cs"/>
          <w:rtl/>
        </w:rPr>
        <w:t xml:space="preserve"> </w:t>
      </w:r>
      <w:r w:rsidRPr="00FA7692">
        <w:rPr>
          <w:rFonts w:hint="cs"/>
          <w:rtl/>
        </w:rPr>
        <w:t>תמיכה בטרור, וכל זאת בזיקה ללוויה</w:t>
      </w:r>
      <w:r w:rsidR="0052437D">
        <w:rPr>
          <w:rFonts w:hint="cs"/>
          <w:rtl/>
        </w:rPr>
        <w:t xml:space="preserve"> או לקבורה</w:t>
      </w:r>
      <w:r w:rsidRPr="00FA7692">
        <w:rPr>
          <w:rFonts w:hint="cs"/>
          <w:rtl/>
        </w:rPr>
        <w:t xml:space="preserve"> של מפגע</w:t>
      </w:r>
      <w:r w:rsidR="0052437D">
        <w:rPr>
          <w:rFonts w:hint="cs"/>
          <w:rtl/>
        </w:rPr>
        <w:t>.</w:t>
      </w:r>
      <w:r w:rsidR="0052437D" w:rsidRPr="00FA7692">
        <w:rPr>
          <w:rFonts w:hint="cs"/>
          <w:rtl/>
        </w:rPr>
        <w:t xml:space="preserve"> </w:t>
      </w:r>
    </w:p>
    <w:p w14:paraId="7F6961CB" w14:textId="18E05070" w:rsidR="00E13C27" w:rsidRDefault="00FA7692" w:rsidP="00FA7692">
      <w:pPr>
        <w:pStyle w:val="Hesber"/>
        <w:rPr>
          <w:rtl/>
        </w:rPr>
      </w:pPr>
      <w:r w:rsidRPr="00FA7692">
        <w:rPr>
          <w:rFonts w:hint="cs"/>
          <w:rtl/>
        </w:rPr>
        <w:t>תנאים אלו נועדו להבטיח שטקס הקבורה יתבצע למטרת קבורת המת בלבד, ולא יתבצעו במסגרתו מופעי תמיכה והזדהות עם המפגע או עם המעשה שביצע, שהמציאות מלמדת שיש בהם גם כדי להניע אחרים לבצע מעשי טרור.</w:t>
      </w:r>
    </w:p>
    <w:p w14:paraId="5F6AED43" w14:textId="0E1223FD" w:rsidR="004D3360" w:rsidRDefault="004D3360" w:rsidP="00DC3EC7">
      <w:pPr>
        <w:pStyle w:val="Hesber"/>
        <w:rPr>
          <w:rtl/>
        </w:rPr>
      </w:pPr>
      <w:r>
        <w:rPr>
          <w:rFonts w:hint="cs"/>
          <w:rtl/>
        </w:rPr>
        <w:t xml:space="preserve">הצעת חוק </w:t>
      </w:r>
      <w:r w:rsidR="00E94B41">
        <w:rPr>
          <w:rFonts w:hint="cs"/>
          <w:rtl/>
        </w:rPr>
        <w:t>דומה בעיקרה</w:t>
      </w:r>
      <w:r>
        <w:rPr>
          <w:rFonts w:hint="cs"/>
          <w:rtl/>
        </w:rPr>
        <w:t xml:space="preserve"> הונחה על שולחן הכנסת העשרים על ידי חבר הכנסת בצלאל סמוטריץ' (פ/</w:t>
      </w:r>
      <w:r w:rsidR="00DC3EC7">
        <w:rPr>
          <w:rFonts w:hint="cs"/>
          <w:rtl/>
        </w:rPr>
        <w:t>4827/20).</w:t>
      </w:r>
    </w:p>
    <w:p w14:paraId="28422F02" w14:textId="77777777" w:rsidR="00DC3EC7" w:rsidRDefault="00DC3EC7" w:rsidP="00DC3EC7">
      <w:pPr>
        <w:pStyle w:val="Hesber"/>
        <w:rPr>
          <w:rtl/>
        </w:rPr>
      </w:pPr>
    </w:p>
    <w:p w14:paraId="778D2A56" w14:textId="77777777" w:rsidR="00DC3EC7" w:rsidRDefault="00DC3EC7" w:rsidP="00DC3EC7">
      <w:pPr>
        <w:pStyle w:val="Hesber"/>
      </w:pPr>
    </w:p>
    <w:p w14:paraId="12585D03" w14:textId="77777777" w:rsidR="00DC3EC7" w:rsidRPr="00D73212" w:rsidRDefault="00DC3EC7" w:rsidP="00DC3EC7">
      <w:pPr>
        <w:pStyle w:val="Hesber"/>
        <w:rPr>
          <w:color w:val="auto"/>
          <w:rtl/>
          <w:lang w:eastAsia="en-US"/>
        </w:rPr>
      </w:pPr>
      <w:r w:rsidRPr="00D73212">
        <w:rPr>
          <w:color w:val="auto"/>
          <w:rtl/>
          <w:lang w:eastAsia="en-US"/>
        </w:rPr>
        <w:t>---------------------------------</w:t>
      </w:r>
    </w:p>
    <w:p w14:paraId="62F4FEA0" w14:textId="77777777" w:rsidR="00DC3EC7" w:rsidRPr="00D73212" w:rsidRDefault="00DC3EC7" w:rsidP="00DC3EC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6BD9255A" w14:textId="77777777" w:rsidR="00DC3EC7" w:rsidRPr="00D73212" w:rsidRDefault="00DC3EC7" w:rsidP="00DC3EC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47AD6C0" w14:textId="77777777" w:rsidR="00DC3EC7" w:rsidRPr="00317312" w:rsidRDefault="00DC3EC7" w:rsidP="00DC3EC7">
      <w:pPr>
        <w:pStyle w:val="Hesber"/>
      </w:pPr>
      <w:r>
        <w:rPr>
          <w:rFonts w:hint="cs"/>
          <w:color w:val="auto"/>
          <w:rtl/>
          <w:lang w:eastAsia="en-US"/>
        </w:rPr>
        <w:t>ט"ז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ח</w:t>
      </w:r>
      <w:r w:rsidRPr="00D73212">
        <w:rPr>
          <w:color w:val="auto"/>
          <w:rtl/>
          <w:lang w:eastAsia="en-US"/>
        </w:rPr>
        <w:t xml:space="preserve"> – </w:t>
      </w:r>
      <w:r>
        <w:rPr>
          <w:rFonts w:hint="cs"/>
          <w:color w:val="auto"/>
          <w:rtl/>
          <w:lang w:eastAsia="en-US"/>
        </w:rPr>
        <w:t>4.12</w:t>
      </w:r>
      <w:r w:rsidRPr="00D73212">
        <w:rPr>
          <w:color w:val="auto"/>
          <w:rtl/>
          <w:lang w:eastAsia="en-US"/>
        </w:rPr>
        <w:t>.</w:t>
      </w:r>
      <w:r>
        <w:rPr>
          <w:rFonts w:hint="cs"/>
          <w:color w:val="auto"/>
          <w:rtl/>
          <w:lang w:eastAsia="en-US"/>
        </w:rPr>
        <w:t>17</w:t>
      </w:r>
    </w:p>
    <w:p w14:paraId="575D4AEC" w14:textId="77777777" w:rsidR="00DC3EC7" w:rsidRPr="00FA7692" w:rsidRDefault="00DC3EC7" w:rsidP="00DC3EC7">
      <w:pPr>
        <w:pStyle w:val="Hesber"/>
        <w:rPr>
          <w:rtl/>
        </w:rPr>
      </w:pPr>
    </w:p>
    <w:sectPr w:rsidR="00DC3EC7" w:rsidRPr="00FA7692"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6D75A6" w14:textId="77777777" w:rsidR="00B13650" w:rsidRDefault="00B13650">
      <w:r>
        <w:separator/>
      </w:r>
    </w:p>
  </w:endnote>
  <w:endnote w:type="continuationSeparator" w:id="0">
    <w:p w14:paraId="79B6FDF1" w14:textId="77777777" w:rsidR="00B13650" w:rsidRDefault="00B13650">
      <w:r>
        <w:continuationSeparator/>
      </w:r>
    </w:p>
  </w:endnote>
  <w:endnote w:type="continuationNotice" w:id="1">
    <w:p w14:paraId="30B123DD" w14:textId="77777777" w:rsidR="00B13650" w:rsidRDefault="00B1365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CA54EB">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FBC28" w14:textId="77777777" w:rsidR="00B13650" w:rsidRDefault="00B13650">
      <w:r>
        <w:separator/>
      </w:r>
    </w:p>
  </w:footnote>
  <w:footnote w:type="continuationSeparator" w:id="0">
    <w:p w14:paraId="1020B994" w14:textId="77777777" w:rsidR="00B13650" w:rsidRDefault="00B13650">
      <w:r>
        <w:continuationSeparator/>
      </w:r>
    </w:p>
  </w:footnote>
  <w:footnote w:type="continuationNotice" w:id="1">
    <w:p w14:paraId="7EE9891F" w14:textId="77777777" w:rsidR="00B13650" w:rsidRDefault="00B13650"/>
  </w:footnote>
  <w:footnote w:id="2">
    <w:p w14:paraId="1B057AD1" w14:textId="77777777" w:rsidR="00F91C07" w:rsidRDefault="00F91C07" w:rsidP="00F91C07">
      <w:pPr>
        <w:pStyle w:val="a4"/>
      </w:pPr>
      <w:r>
        <w:rPr>
          <w:rStyle w:val="a5"/>
        </w:rPr>
        <w:footnoteRef/>
      </w:r>
      <w:r>
        <w:rPr>
          <w:rtl/>
        </w:rPr>
        <w:t xml:space="preserve"> </w:t>
      </w:r>
      <w:r w:rsidRPr="001453D4">
        <w:rPr>
          <w:rFonts w:ascii="FrankRuehl" w:hAnsi="FrankRuehl"/>
          <w:sz w:val="22"/>
          <w:szCs w:val="22"/>
          <w:rtl/>
        </w:rPr>
        <w:t>דיני מדינת ישראל</w:t>
      </w:r>
      <w:r>
        <w:rPr>
          <w:rFonts w:ascii="FrankRuehl" w:hAnsi="FrankRuehl" w:hint="cs"/>
          <w:sz w:val="22"/>
          <w:szCs w:val="22"/>
          <w:rtl/>
        </w:rPr>
        <w:t xml:space="preserve">, </w:t>
      </w:r>
      <w:r w:rsidRPr="001453D4">
        <w:rPr>
          <w:rFonts w:ascii="FrankRuehl" w:hAnsi="FrankRuehl"/>
          <w:sz w:val="22"/>
          <w:szCs w:val="22"/>
          <w:rtl/>
        </w:rPr>
        <w:t>נוסח חדש</w:t>
      </w:r>
      <w:r>
        <w:rPr>
          <w:rFonts w:ascii="FrankRuehl" w:hAnsi="FrankRuehl" w:hint="cs"/>
          <w:sz w:val="22"/>
          <w:szCs w:val="22"/>
          <w:rtl/>
        </w:rPr>
        <w:t xml:space="preserve"> </w:t>
      </w:r>
      <w:r w:rsidRPr="001453D4">
        <w:rPr>
          <w:rFonts w:ascii="FrankRuehl" w:hAnsi="FrankRuehl"/>
          <w:sz w:val="22"/>
          <w:szCs w:val="22"/>
          <w:rtl/>
        </w:rPr>
        <w:t>17</w:t>
      </w:r>
      <w:r>
        <w:rPr>
          <w:rFonts w:ascii="FrankRuehl" w:hAnsi="FrankRuehl" w:hint="cs"/>
          <w:sz w:val="22"/>
          <w:szCs w:val="22"/>
          <w:rtl/>
        </w:rPr>
        <w:t xml:space="preserve">, </w:t>
      </w:r>
      <w:r>
        <w:rPr>
          <w:rFonts w:ascii="FrankRuehl" w:hAnsi="FrankRuehl"/>
          <w:sz w:val="22"/>
          <w:szCs w:val="22"/>
          <w:rtl/>
        </w:rPr>
        <w:t>עמ' 390</w:t>
      </w:r>
      <w:r>
        <w:rPr>
          <w:rFonts w:ascii="FrankRuehl" w:hAnsi="FrankRuehl"/>
          <w:sz w:val="22"/>
          <w:szCs w:val="22"/>
        </w:rPr>
        <w:t>.</w:t>
      </w:r>
    </w:p>
  </w:footnote>
  <w:footnote w:id="3">
    <w:p w14:paraId="34948F99" w14:textId="52AD7872" w:rsidR="0080499D" w:rsidRDefault="0080499D">
      <w:pPr>
        <w:pStyle w:val="a4"/>
      </w:pPr>
      <w:r>
        <w:rPr>
          <w:rStyle w:val="a5"/>
        </w:rPr>
        <w:footnoteRef/>
      </w:r>
      <w:r>
        <w:rPr>
          <w:rtl/>
        </w:rPr>
        <w:t xml:space="preserve"> </w:t>
      </w:r>
      <w:r w:rsidRPr="004B4D24">
        <w:rPr>
          <w:rFonts w:hint="eastAsia"/>
          <w:rtl/>
        </w:rPr>
        <w:t>ס</w:t>
      </w:r>
      <w:r w:rsidRPr="004B4D24">
        <w:rPr>
          <w:rtl/>
        </w:rPr>
        <w:t xml:space="preserve">"ח </w:t>
      </w:r>
      <w:r w:rsidRPr="004B4D24">
        <w:rPr>
          <w:rFonts w:hint="cs"/>
          <w:rtl/>
        </w:rPr>
        <w:t>ה</w:t>
      </w:r>
      <w:r w:rsidRPr="004B4D24">
        <w:rPr>
          <w:rtl/>
        </w:rPr>
        <w:t>תש</w:t>
      </w:r>
      <w:r w:rsidRPr="004B4D24">
        <w:rPr>
          <w:rFonts w:hint="cs"/>
          <w:rtl/>
        </w:rPr>
        <w:t>ע"ו, עמ' 898</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07C5297"/>
    <w:multiLevelType w:val="hybridMultilevel"/>
    <w:tmpl w:val="68806154"/>
    <w:lvl w:ilvl="0" w:tplc="725254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CF499B"/>
    <w:multiLevelType w:val="hybridMultilevel"/>
    <w:tmpl w:val="5F0A9028"/>
    <w:lvl w:ilvl="0" w:tplc="5388014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E14234"/>
    <w:multiLevelType w:val="hybridMultilevel"/>
    <w:tmpl w:val="1EC82FF4"/>
    <w:lvl w:ilvl="0" w:tplc="C11A75E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1B25A7"/>
    <w:multiLevelType w:val="hybridMultilevel"/>
    <w:tmpl w:val="67245B9E"/>
    <w:lvl w:ilvl="0" w:tplc="C34CF2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6"/>
  </w:num>
  <w:num w:numId="13">
    <w:abstractNumId w:val="10"/>
  </w:num>
  <w:num w:numId="14">
    <w:abstractNumId w:val="17"/>
  </w:num>
  <w:num w:numId="15">
    <w:abstractNumId w:val="13"/>
  </w:num>
  <w:num w:numId="16">
    <w:abstractNumId w:val="15"/>
  </w:num>
  <w:num w:numId="17">
    <w:abstractNumId w:val="1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453D4"/>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A45BE"/>
    <w:rsid w:val="004B24ED"/>
    <w:rsid w:val="004B6625"/>
    <w:rsid w:val="004D2D82"/>
    <w:rsid w:val="004D3360"/>
    <w:rsid w:val="004D3876"/>
    <w:rsid w:val="004E4552"/>
    <w:rsid w:val="004E6CDF"/>
    <w:rsid w:val="0052437D"/>
    <w:rsid w:val="00553C9D"/>
    <w:rsid w:val="00562A66"/>
    <w:rsid w:val="005B064E"/>
    <w:rsid w:val="005D51AE"/>
    <w:rsid w:val="005F6C3F"/>
    <w:rsid w:val="0062674B"/>
    <w:rsid w:val="006363B2"/>
    <w:rsid w:val="00644940"/>
    <w:rsid w:val="006818A9"/>
    <w:rsid w:val="00684CAA"/>
    <w:rsid w:val="006A2D81"/>
    <w:rsid w:val="006C1D0D"/>
    <w:rsid w:val="0070601E"/>
    <w:rsid w:val="00712C72"/>
    <w:rsid w:val="00735FE9"/>
    <w:rsid w:val="00763CAA"/>
    <w:rsid w:val="00765F66"/>
    <w:rsid w:val="0078664F"/>
    <w:rsid w:val="007C3FA6"/>
    <w:rsid w:val="007D585A"/>
    <w:rsid w:val="007D5A12"/>
    <w:rsid w:val="007E59F9"/>
    <w:rsid w:val="0080499D"/>
    <w:rsid w:val="00810BCD"/>
    <w:rsid w:val="00812C98"/>
    <w:rsid w:val="00814D92"/>
    <w:rsid w:val="0083181D"/>
    <w:rsid w:val="00843EB2"/>
    <w:rsid w:val="00865572"/>
    <w:rsid w:val="00874BBC"/>
    <w:rsid w:val="00892135"/>
    <w:rsid w:val="00895449"/>
    <w:rsid w:val="00897879"/>
    <w:rsid w:val="008A6870"/>
    <w:rsid w:val="008C2DDC"/>
    <w:rsid w:val="008C7516"/>
    <w:rsid w:val="008D51FD"/>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1011"/>
    <w:rsid w:val="00A26BD6"/>
    <w:rsid w:val="00A443CF"/>
    <w:rsid w:val="00A6611D"/>
    <w:rsid w:val="00A82CB7"/>
    <w:rsid w:val="00A942C1"/>
    <w:rsid w:val="00AA2F03"/>
    <w:rsid w:val="00AC36F7"/>
    <w:rsid w:val="00AC63A4"/>
    <w:rsid w:val="00AD239E"/>
    <w:rsid w:val="00B10265"/>
    <w:rsid w:val="00B13650"/>
    <w:rsid w:val="00B16A99"/>
    <w:rsid w:val="00B21211"/>
    <w:rsid w:val="00B35784"/>
    <w:rsid w:val="00B733A7"/>
    <w:rsid w:val="00B75C91"/>
    <w:rsid w:val="00B975AD"/>
    <w:rsid w:val="00BC45FB"/>
    <w:rsid w:val="00BF148D"/>
    <w:rsid w:val="00C23B1A"/>
    <w:rsid w:val="00C310EB"/>
    <w:rsid w:val="00C828A9"/>
    <w:rsid w:val="00C9176A"/>
    <w:rsid w:val="00CA54EB"/>
    <w:rsid w:val="00CF1AA2"/>
    <w:rsid w:val="00D17774"/>
    <w:rsid w:val="00D63620"/>
    <w:rsid w:val="00D8410D"/>
    <w:rsid w:val="00D867D7"/>
    <w:rsid w:val="00DB7060"/>
    <w:rsid w:val="00DC3EC7"/>
    <w:rsid w:val="00DE3153"/>
    <w:rsid w:val="00E06736"/>
    <w:rsid w:val="00E13C27"/>
    <w:rsid w:val="00E33BBD"/>
    <w:rsid w:val="00E374F2"/>
    <w:rsid w:val="00E45103"/>
    <w:rsid w:val="00E5023D"/>
    <w:rsid w:val="00E55A60"/>
    <w:rsid w:val="00E62778"/>
    <w:rsid w:val="00E63D38"/>
    <w:rsid w:val="00E665B9"/>
    <w:rsid w:val="00E94B41"/>
    <w:rsid w:val="00EA01E6"/>
    <w:rsid w:val="00EA0448"/>
    <w:rsid w:val="00EA3DE8"/>
    <w:rsid w:val="00EA758F"/>
    <w:rsid w:val="00ED4A6F"/>
    <w:rsid w:val="00EF3A3A"/>
    <w:rsid w:val="00F54F9A"/>
    <w:rsid w:val="00F628D6"/>
    <w:rsid w:val="00F67051"/>
    <w:rsid w:val="00F86A1E"/>
    <w:rsid w:val="00F91C07"/>
    <w:rsid w:val="00FA5E88"/>
    <w:rsid w:val="00FA76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1C07"/>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F91C07"/>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91C07"/>
    <w:rPr>
      <w:sz w:val="36"/>
      <w:szCs w:val="52"/>
    </w:rPr>
  </w:style>
  <w:style w:type="paragraph" w:customStyle="1" w:styleId="Cover3-Haknesset">
    <w:name w:val="Cover 3-Haknesset"/>
    <w:basedOn w:val="Cover1-Reshumot"/>
    <w:rsid w:val="00F91C07"/>
    <w:rPr>
      <w:b/>
      <w:bCs/>
      <w:spacing w:val="60"/>
    </w:rPr>
  </w:style>
  <w:style w:type="paragraph" w:customStyle="1" w:styleId="Cover4-Date">
    <w:name w:val="Cover 4-Date"/>
    <w:basedOn w:val="a"/>
    <w:rsid w:val="00F91C07"/>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F91C07"/>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F91C07"/>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F91C07"/>
    <w:pPr>
      <w:spacing w:before="120" w:after="120"/>
    </w:pPr>
    <w:rPr>
      <w:color w:val="FF0000"/>
      <w:w w:val="80"/>
    </w:rPr>
  </w:style>
  <w:style w:type="paragraph" w:styleId="a3">
    <w:name w:val="endnote text"/>
    <w:basedOn w:val="a"/>
    <w:semiHidden/>
    <w:rsid w:val="00F91C07"/>
    <w:pPr>
      <w:ind w:left="227" w:hanging="227"/>
    </w:pPr>
    <w:rPr>
      <w:sz w:val="14"/>
      <w:szCs w:val="22"/>
    </w:rPr>
  </w:style>
  <w:style w:type="paragraph" w:customStyle="1" w:styleId="TableText">
    <w:name w:val="Table Text"/>
    <w:basedOn w:val="a"/>
    <w:rsid w:val="00F91C07"/>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F91C07"/>
  </w:style>
  <w:style w:type="paragraph" w:customStyle="1" w:styleId="TableBlock">
    <w:name w:val="Table Block"/>
    <w:basedOn w:val="TableText"/>
    <w:rsid w:val="00F91C07"/>
    <w:pPr>
      <w:ind w:right="0"/>
      <w:jc w:val="both"/>
    </w:pPr>
  </w:style>
  <w:style w:type="paragraph" w:customStyle="1" w:styleId="TableHead">
    <w:name w:val="Table Head"/>
    <w:basedOn w:val="TableText"/>
    <w:rsid w:val="00F91C07"/>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F91C07"/>
  </w:style>
  <w:style w:type="paragraph" w:customStyle="1" w:styleId="Hesber">
    <w:name w:val="Hesber"/>
    <w:basedOn w:val="a"/>
    <w:rsid w:val="00F91C07"/>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F91C07"/>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F91C07"/>
    <w:rPr>
      <w:vertAlign w:val="superscript"/>
    </w:rPr>
  </w:style>
  <w:style w:type="paragraph" w:customStyle="1" w:styleId="HesberHeading">
    <w:name w:val="Hesber Heading"/>
    <w:basedOn w:val="Hesber"/>
    <w:rsid w:val="00F91C07"/>
    <w:pPr>
      <w:tabs>
        <w:tab w:val="left" w:pos="624"/>
        <w:tab w:val="left" w:pos="1247"/>
      </w:tabs>
      <w:ind w:firstLine="0"/>
    </w:pPr>
    <w:rPr>
      <w:b/>
      <w:bCs/>
    </w:rPr>
  </w:style>
  <w:style w:type="paragraph" w:customStyle="1" w:styleId="HesberWriters">
    <w:name w:val="Hesber Writers"/>
    <w:basedOn w:val="Hesber"/>
    <w:rsid w:val="00F91C07"/>
    <w:pPr>
      <w:spacing w:before="120" w:after="6000"/>
      <w:ind w:left="1418" w:firstLine="0"/>
      <w:jc w:val="right"/>
    </w:pPr>
    <w:rPr>
      <w:b/>
      <w:bCs/>
    </w:rPr>
  </w:style>
  <w:style w:type="paragraph" w:customStyle="1" w:styleId="Hesber1st">
    <w:name w:val="Hesber 1st"/>
    <w:basedOn w:val="Hesber"/>
    <w:rsid w:val="00F91C07"/>
    <w:pPr>
      <w:tabs>
        <w:tab w:val="left" w:pos="680"/>
        <w:tab w:val="left" w:pos="1020"/>
      </w:tabs>
      <w:ind w:firstLine="0"/>
    </w:pPr>
  </w:style>
  <w:style w:type="character" w:styleId="a6">
    <w:name w:val="endnote reference"/>
    <w:basedOn w:val="a0"/>
    <w:semiHidden/>
    <w:rsid w:val="00F91C07"/>
    <w:rPr>
      <w:vertAlign w:val="superscript"/>
    </w:rPr>
  </w:style>
  <w:style w:type="paragraph" w:customStyle="1" w:styleId="TableBlockOutdent">
    <w:name w:val="Table BlockOutdent"/>
    <w:basedOn w:val="TableBlock"/>
    <w:rsid w:val="00F91C07"/>
    <w:pPr>
      <w:ind w:left="624" w:hanging="624"/>
    </w:pPr>
  </w:style>
  <w:style w:type="paragraph" w:styleId="a7">
    <w:name w:val="header"/>
    <w:basedOn w:val="a"/>
    <w:link w:val="a8"/>
    <w:rsid w:val="00F91C07"/>
    <w:pPr>
      <w:tabs>
        <w:tab w:val="center" w:pos="4153"/>
        <w:tab w:val="right" w:pos="8306"/>
      </w:tabs>
    </w:pPr>
  </w:style>
  <w:style w:type="paragraph" w:styleId="a9">
    <w:name w:val="footer"/>
    <w:basedOn w:val="a"/>
    <w:rsid w:val="00F91C07"/>
    <w:pPr>
      <w:tabs>
        <w:tab w:val="center" w:pos="4153"/>
        <w:tab w:val="right" w:pos="8306"/>
      </w:tabs>
    </w:pPr>
  </w:style>
  <w:style w:type="paragraph" w:customStyle="1" w:styleId="HeadDivreiHesber">
    <w:name w:val="Head DivreiHesber"/>
    <w:basedOn w:val="a"/>
    <w:rsid w:val="00F91C07"/>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F91C07"/>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F91C07"/>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uiPriority w:val="99"/>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uiPriority w:val="99"/>
    <w:semiHidden/>
    <w:rsid w:val="00325C14"/>
    <w:rPr>
      <w:rFonts w:ascii="Tahoma" w:hAnsi="Tahoma" w:cs="Tahoma"/>
      <w:color w:val="000000"/>
      <w:spacing w:val="1"/>
      <w:sz w:val="16"/>
      <w:szCs w:val="16"/>
      <w:lang w:eastAsia="ja-JP"/>
    </w:rPr>
  </w:style>
  <w:style w:type="character" w:customStyle="1" w:styleId="a8">
    <w:name w:val="כותרת עליונה תו"/>
    <w:basedOn w:val="a0"/>
    <w:link w:val="a7"/>
    <w:rsid w:val="001453D4"/>
    <w:rPr>
      <w:rFonts w:ascii="Hadasa Roso SL" w:hAnsi="Hadasa Roso SL" w:cs="Hadasa Roso SL"/>
      <w:color w:val="000000"/>
      <w:spacing w:val="1"/>
      <w:sz w:val="17"/>
      <w:szCs w:val="17"/>
      <w:lang w:eastAsia="ja-JP"/>
    </w:rPr>
  </w:style>
  <w:style w:type="character" w:styleId="Hyperlink">
    <w:name w:val="Hyperlink"/>
    <w:basedOn w:val="a0"/>
    <w:uiPriority w:val="99"/>
    <w:semiHidden/>
    <w:unhideWhenUsed/>
    <w:rsid w:val="00145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0D48-91FC-4E32-86C8-6FF5190435D5}"/>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F169763B-ADE6-42EC-BC71-E7803B53C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687</Words>
  <Characters>3439</Characters>
  <Application>Microsoft Office Word</Application>
  <DocSecurity>0</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2017-11-30T11:59:00Z</cp:lastPrinted>
  <dcterms:created xsi:type="dcterms:W3CDTF">2018-01-30T09:00:00Z</dcterms:created>
  <dcterms:modified xsi:type="dcterms:W3CDTF">2018-01-30T09:00:00Z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2066344</vt:r8>
  </property>
</Properties>
</file>