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7090C" w:rsidRDefault="00D7090C" w:rsidP="00D7090C">
      <w:pPr>
        <w:bidi w:val="0"/>
        <w:jc w:val="center"/>
        <w:rPr>
          <w:color w:val="000080"/>
        </w:rPr>
      </w:pPr>
      <w:bookmarkStart w:id="0" w:name="_GoBack"/>
      <w:bookmarkEnd w:id="0"/>
      <w:r>
        <w:rPr>
          <w:noProof/>
          <w:color w:val="000080"/>
        </w:rPr>
        <w:drawing>
          <wp:inline distT="0" distB="0" distL="0" distR="0" wp14:anchorId="2CCB43AA" wp14:editId="0CEF9FF6">
            <wp:extent cx="704850" cy="857250"/>
            <wp:effectExtent l="0" t="0" r="0" b="0"/>
            <wp:docPr id="1" name="תמונה 1" descr="סמל כחול copy.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כחול copy.jpg"/>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704850" cy="857250"/>
                    </a:xfrm>
                    <a:prstGeom prst="rect">
                      <a:avLst/>
                    </a:prstGeom>
                    <a:noFill/>
                    <a:ln>
                      <a:noFill/>
                    </a:ln>
                  </pic:spPr>
                </pic:pic>
              </a:graphicData>
            </a:graphic>
          </wp:inline>
        </w:drawing>
      </w:r>
    </w:p>
    <w:p w:rsidR="00D7090C" w:rsidRDefault="00D7090C" w:rsidP="00D7090C">
      <w:pPr>
        <w:bidi w:val="0"/>
        <w:spacing w:after="120"/>
        <w:jc w:val="center"/>
        <w:rPr>
          <w:rFonts w:cs="David"/>
          <w:b/>
          <w:bCs/>
          <w:color w:val="000080"/>
          <w:sz w:val="26"/>
          <w:szCs w:val="26"/>
        </w:rPr>
      </w:pPr>
      <w:r>
        <w:rPr>
          <w:rFonts w:cs="David" w:hint="cs"/>
          <w:b/>
          <w:bCs/>
          <w:color w:val="000080"/>
          <w:sz w:val="26"/>
          <w:szCs w:val="26"/>
          <w:rtl/>
        </w:rPr>
        <w:t>הכנסת</w:t>
      </w:r>
    </w:p>
    <w:p w:rsidR="00D7090C" w:rsidRDefault="00D7090C" w:rsidP="00D7090C">
      <w:pPr>
        <w:bidi w:val="0"/>
        <w:spacing w:line="280" w:lineRule="atLeast"/>
        <w:jc w:val="center"/>
        <w:rPr>
          <w:b/>
          <w:bCs/>
          <w:color w:val="000080"/>
          <w:sz w:val="26"/>
          <w:szCs w:val="26"/>
          <w:rtl/>
        </w:rPr>
      </w:pPr>
      <w:r>
        <w:rPr>
          <w:b/>
          <w:bCs/>
          <w:color w:val="000080"/>
          <w:sz w:val="26"/>
          <w:szCs w:val="26"/>
          <w:rtl/>
        </w:rPr>
        <w:t>ועדת ה</w:t>
      </w:r>
      <w:r>
        <w:rPr>
          <w:rFonts w:hint="cs"/>
          <w:b/>
          <w:bCs/>
          <w:color w:val="000080"/>
          <w:sz w:val="26"/>
          <w:szCs w:val="26"/>
          <w:rtl/>
        </w:rPr>
        <w:t>פנים והגנת הסביבה</w:t>
      </w:r>
    </w:p>
    <w:p w:rsidR="00D7090C" w:rsidRDefault="00D7090C" w:rsidP="00D7090C">
      <w:pPr>
        <w:bidi w:val="0"/>
        <w:spacing w:line="280" w:lineRule="atLeast"/>
        <w:jc w:val="center"/>
        <w:rPr>
          <w:b/>
          <w:bCs/>
          <w:color w:val="000080"/>
          <w:sz w:val="26"/>
          <w:szCs w:val="26"/>
          <w:rtl/>
        </w:rPr>
      </w:pPr>
      <w:r>
        <w:rPr>
          <w:rFonts w:hint="cs"/>
          <w:b/>
          <w:bCs/>
          <w:color w:val="000080"/>
          <w:sz w:val="26"/>
          <w:szCs w:val="26"/>
          <w:rtl/>
        </w:rPr>
        <w:t>ועדת העלייה הקליטה והתפוצות</w:t>
      </w:r>
    </w:p>
    <w:p w:rsidR="00D7090C" w:rsidRDefault="00D7090C" w:rsidP="00D7090C">
      <w:pPr>
        <w:bidi w:val="0"/>
        <w:spacing w:line="280" w:lineRule="atLeast"/>
      </w:pPr>
    </w:p>
    <w:p w:rsidR="00D7090C" w:rsidRDefault="00D7090C" w:rsidP="00D7090C">
      <w:pPr>
        <w:bidi w:val="0"/>
        <w:spacing w:line="280" w:lineRule="atLeast"/>
      </w:pPr>
      <w:r>
        <w:rPr>
          <w:rtl/>
        </w:rPr>
        <w:t>ירושלים</w:t>
      </w:r>
      <w:r>
        <w:rPr>
          <w:rFonts w:hint="cs"/>
          <w:rtl/>
        </w:rPr>
        <w:t xml:space="preserve"> , כ"ג באדר תשע"ז</w:t>
      </w:r>
    </w:p>
    <w:p w:rsidR="00D7090C" w:rsidRDefault="00D7090C" w:rsidP="00D7090C">
      <w:pPr>
        <w:bidi w:val="0"/>
        <w:spacing w:line="280" w:lineRule="atLeast"/>
      </w:pPr>
      <w:r>
        <w:rPr>
          <w:rFonts w:hint="cs"/>
          <w:rtl/>
        </w:rPr>
        <w:t>21.3.2017</w:t>
      </w:r>
    </w:p>
    <w:p w:rsidR="00D7090C" w:rsidRDefault="00D7090C" w:rsidP="00D7090C">
      <w:pPr>
        <w:jc w:val="center"/>
        <w:rPr>
          <w:b/>
          <w:bCs/>
          <w:sz w:val="40"/>
          <w:szCs w:val="40"/>
          <w:u w:val="single"/>
          <w:rtl/>
        </w:rPr>
      </w:pPr>
      <w:r w:rsidRPr="0079505C">
        <w:rPr>
          <w:rFonts w:hint="cs"/>
          <w:b/>
          <w:bCs/>
          <w:sz w:val="40"/>
          <w:szCs w:val="40"/>
          <w:u w:val="single"/>
          <w:rtl/>
        </w:rPr>
        <w:t>הודעה לעיתונות</w:t>
      </w:r>
    </w:p>
    <w:p w:rsidR="00572791" w:rsidRPr="00572791" w:rsidRDefault="00572791" w:rsidP="00D7090C">
      <w:pPr>
        <w:jc w:val="center"/>
        <w:rPr>
          <w:b/>
          <w:bCs/>
          <w:sz w:val="40"/>
          <w:szCs w:val="40"/>
          <w:rtl/>
        </w:rPr>
      </w:pPr>
      <w:r w:rsidRPr="00572791">
        <w:rPr>
          <w:rFonts w:hint="cs"/>
          <w:b/>
          <w:bCs/>
          <w:sz w:val="40"/>
          <w:szCs w:val="40"/>
          <w:rtl/>
        </w:rPr>
        <w:t>משרד הפנים דורש מבני קהילת הממתינים באתיופיה להביא אישורים שהם תושבי קבע בעיר, אבל הם בכלל באו מהכפרים</w:t>
      </w:r>
    </w:p>
    <w:p w:rsidR="00572791" w:rsidRPr="00175ECE" w:rsidRDefault="00572791" w:rsidP="00D7090C">
      <w:pPr>
        <w:jc w:val="center"/>
        <w:rPr>
          <w:sz w:val="32"/>
          <w:szCs w:val="32"/>
          <w:u w:val="single"/>
          <w:rtl/>
        </w:rPr>
      </w:pPr>
      <w:r w:rsidRPr="00175ECE">
        <w:rPr>
          <w:rFonts w:hint="cs"/>
          <w:sz w:val="32"/>
          <w:szCs w:val="32"/>
          <w:u w:val="single"/>
          <w:rtl/>
        </w:rPr>
        <w:t>יו"ר ועדת העליה והקליטה אברהם נגוסה:</w:t>
      </w:r>
    </w:p>
    <w:p w:rsidR="00572791" w:rsidRPr="00175ECE" w:rsidRDefault="00572791" w:rsidP="00D7090C">
      <w:pPr>
        <w:jc w:val="center"/>
        <w:rPr>
          <w:b/>
          <w:bCs/>
          <w:sz w:val="40"/>
          <w:szCs w:val="40"/>
          <w:rtl/>
        </w:rPr>
      </w:pPr>
      <w:r w:rsidRPr="00175ECE">
        <w:rPr>
          <w:rFonts w:hint="cs"/>
          <w:b/>
          <w:bCs/>
          <w:sz w:val="40"/>
          <w:szCs w:val="40"/>
          <w:rtl/>
        </w:rPr>
        <w:t xml:space="preserve">החלטת הממשלה להעלות 1300 איש עד סוף השנה לא תקרה, כי משרד הפנים מקשה בכוונה </w:t>
      </w:r>
    </w:p>
    <w:p w:rsidR="00572791" w:rsidRDefault="00572791" w:rsidP="00D7090C">
      <w:pPr>
        <w:jc w:val="center"/>
        <w:rPr>
          <w:b/>
          <w:bCs/>
          <w:sz w:val="40"/>
          <w:szCs w:val="40"/>
          <w:u w:val="single"/>
          <w:rtl/>
        </w:rPr>
      </w:pPr>
      <w:r w:rsidRPr="00175ECE">
        <w:rPr>
          <w:rFonts w:hint="cs"/>
          <w:sz w:val="32"/>
          <w:szCs w:val="32"/>
          <w:u w:val="single"/>
          <w:rtl/>
        </w:rPr>
        <w:t>ח"כ אלי אלאלוף:</w:t>
      </w:r>
      <w:r>
        <w:rPr>
          <w:rFonts w:hint="cs"/>
          <w:b/>
          <w:bCs/>
          <w:sz w:val="40"/>
          <w:szCs w:val="40"/>
          <w:u w:val="single"/>
          <w:rtl/>
        </w:rPr>
        <w:t xml:space="preserve"> </w:t>
      </w:r>
      <w:r w:rsidRPr="00175ECE">
        <w:rPr>
          <w:rFonts w:hint="cs"/>
          <w:b/>
          <w:bCs/>
          <w:sz w:val="40"/>
          <w:szCs w:val="40"/>
          <w:rtl/>
        </w:rPr>
        <w:t>"נטשנו אותם"</w:t>
      </w:r>
    </w:p>
    <w:p w:rsidR="00572791" w:rsidRPr="00175ECE" w:rsidRDefault="00572791" w:rsidP="00D7090C">
      <w:pPr>
        <w:jc w:val="center"/>
        <w:rPr>
          <w:sz w:val="32"/>
          <w:szCs w:val="32"/>
          <w:u w:val="single"/>
          <w:rtl/>
        </w:rPr>
      </w:pPr>
      <w:r w:rsidRPr="00175ECE">
        <w:rPr>
          <w:rFonts w:hint="cs"/>
          <w:sz w:val="32"/>
          <w:szCs w:val="32"/>
          <w:u w:val="single"/>
          <w:rtl/>
        </w:rPr>
        <w:t xml:space="preserve">יו"ר ועדת הפנים דודי אמסלם: </w:t>
      </w:r>
    </w:p>
    <w:p w:rsidR="00572791" w:rsidRPr="00175ECE" w:rsidRDefault="00572791" w:rsidP="00D7090C">
      <w:pPr>
        <w:jc w:val="center"/>
        <w:rPr>
          <w:b/>
          <w:bCs/>
          <w:sz w:val="40"/>
          <w:szCs w:val="40"/>
          <w:rtl/>
        </w:rPr>
      </w:pPr>
      <w:r w:rsidRPr="00175ECE">
        <w:rPr>
          <w:rFonts w:hint="cs"/>
          <w:b/>
          <w:bCs/>
          <w:sz w:val="40"/>
          <w:szCs w:val="40"/>
          <w:rtl/>
        </w:rPr>
        <w:t>אלה בני אדם שחולים ומתים. לא יקרה במשמרת שלי שילד ימו</w:t>
      </w:r>
      <w:r w:rsidR="00175ECE">
        <w:rPr>
          <w:rFonts w:hint="cs"/>
          <w:b/>
          <w:bCs/>
          <w:sz w:val="40"/>
          <w:szCs w:val="40"/>
          <w:rtl/>
        </w:rPr>
        <w:t>ת כי לא הבאנו אותו לטיפול רפואי</w:t>
      </w:r>
    </w:p>
    <w:p w:rsidR="00D7090C" w:rsidRPr="00175ECE" w:rsidRDefault="00D7090C" w:rsidP="00175ECE">
      <w:pPr>
        <w:spacing w:line="360" w:lineRule="auto"/>
        <w:jc w:val="both"/>
        <w:rPr>
          <w:rFonts w:cs="David"/>
          <w:sz w:val="24"/>
          <w:szCs w:val="24"/>
          <w:rtl/>
        </w:rPr>
      </w:pPr>
      <w:r w:rsidRPr="00175ECE">
        <w:rPr>
          <w:rFonts w:cs="David" w:hint="cs"/>
          <w:sz w:val="24"/>
          <w:szCs w:val="24"/>
          <w:rtl/>
        </w:rPr>
        <w:t xml:space="preserve">"נטשנו את הקהילה היהודית באדיס אבבה ובגונדר", אמר ח"כ </w:t>
      </w:r>
      <w:r w:rsidRPr="00175ECE">
        <w:rPr>
          <w:rFonts w:cs="David" w:hint="cs"/>
          <w:b/>
          <w:bCs/>
          <w:sz w:val="24"/>
          <w:szCs w:val="24"/>
          <w:rtl/>
        </w:rPr>
        <w:t>אלי אלאלוף</w:t>
      </w:r>
      <w:r w:rsidRPr="00175ECE">
        <w:rPr>
          <w:rFonts w:cs="David" w:hint="cs"/>
          <w:sz w:val="24"/>
          <w:szCs w:val="24"/>
          <w:rtl/>
        </w:rPr>
        <w:t xml:space="preserve"> בדיון משותף לוועדת הפנים בראשות </w:t>
      </w:r>
      <w:r w:rsidRPr="00175ECE">
        <w:rPr>
          <w:rFonts w:cs="David" w:hint="cs"/>
          <w:b/>
          <w:bCs/>
          <w:sz w:val="24"/>
          <w:szCs w:val="24"/>
          <w:rtl/>
        </w:rPr>
        <w:t>דודי אמסלם</w:t>
      </w:r>
      <w:r w:rsidRPr="00175ECE">
        <w:rPr>
          <w:rFonts w:cs="David" w:hint="cs"/>
          <w:sz w:val="24"/>
          <w:szCs w:val="24"/>
          <w:rtl/>
        </w:rPr>
        <w:t xml:space="preserve"> וועדת העליה </w:t>
      </w:r>
      <w:r w:rsidR="00572791" w:rsidRPr="00175ECE">
        <w:rPr>
          <w:rFonts w:cs="David" w:hint="cs"/>
          <w:sz w:val="24"/>
          <w:szCs w:val="24"/>
          <w:rtl/>
        </w:rPr>
        <w:t>והקליטה</w:t>
      </w:r>
      <w:r w:rsidRPr="00175ECE">
        <w:rPr>
          <w:rFonts w:cs="David" w:hint="cs"/>
          <w:sz w:val="24"/>
          <w:szCs w:val="24"/>
          <w:rtl/>
        </w:rPr>
        <w:t xml:space="preserve"> </w:t>
      </w:r>
      <w:r w:rsidR="00572791" w:rsidRPr="00175ECE">
        <w:rPr>
          <w:rFonts w:cs="David" w:hint="cs"/>
          <w:sz w:val="24"/>
          <w:szCs w:val="24"/>
          <w:rtl/>
        </w:rPr>
        <w:t>בראשות</w:t>
      </w:r>
      <w:r w:rsidRPr="00175ECE">
        <w:rPr>
          <w:rFonts w:cs="David" w:hint="cs"/>
          <w:sz w:val="24"/>
          <w:szCs w:val="24"/>
          <w:rtl/>
        </w:rPr>
        <w:t xml:space="preserve"> </w:t>
      </w:r>
      <w:r w:rsidRPr="00175ECE">
        <w:rPr>
          <w:rFonts w:cs="David" w:hint="cs"/>
          <w:b/>
          <w:bCs/>
          <w:sz w:val="24"/>
          <w:szCs w:val="24"/>
          <w:rtl/>
        </w:rPr>
        <w:t>אברהם נגוסה</w:t>
      </w:r>
      <w:r w:rsidRPr="00175ECE">
        <w:rPr>
          <w:rFonts w:cs="David" w:hint="cs"/>
          <w:sz w:val="24"/>
          <w:szCs w:val="24"/>
          <w:rtl/>
        </w:rPr>
        <w:t>. ח"</w:t>
      </w:r>
      <w:r w:rsidR="00175ECE">
        <w:rPr>
          <w:rFonts w:cs="David" w:hint="cs"/>
          <w:sz w:val="24"/>
          <w:szCs w:val="24"/>
          <w:rtl/>
        </w:rPr>
        <w:t>כ</w:t>
      </w:r>
      <w:r w:rsidRPr="00175ECE">
        <w:rPr>
          <w:rFonts w:cs="David" w:hint="cs"/>
          <w:sz w:val="24"/>
          <w:szCs w:val="24"/>
          <w:rtl/>
        </w:rPr>
        <w:t xml:space="preserve"> </w:t>
      </w:r>
      <w:r w:rsidRPr="00175ECE">
        <w:rPr>
          <w:rFonts w:cs="David" w:hint="cs"/>
          <w:b/>
          <w:bCs/>
          <w:sz w:val="24"/>
          <w:szCs w:val="24"/>
          <w:rtl/>
        </w:rPr>
        <w:t>אלאלוף</w:t>
      </w:r>
      <w:r w:rsidRPr="00175ECE">
        <w:rPr>
          <w:rFonts w:cs="David" w:hint="cs"/>
          <w:sz w:val="24"/>
          <w:szCs w:val="24"/>
          <w:rtl/>
        </w:rPr>
        <w:t xml:space="preserve"> ביקר לאחרונה באתיופיה ודיווח לוועדה: "המצב בלתי נסבל</w:t>
      </w:r>
      <w:r w:rsidR="00572791" w:rsidRPr="00175ECE">
        <w:rPr>
          <w:rFonts w:cs="David" w:hint="cs"/>
          <w:sz w:val="24"/>
          <w:szCs w:val="24"/>
          <w:rtl/>
        </w:rPr>
        <w:t xml:space="preserve">. </w:t>
      </w:r>
      <w:r w:rsidRPr="00175ECE">
        <w:rPr>
          <w:rFonts w:cs="David" w:hint="cs"/>
          <w:sz w:val="24"/>
          <w:szCs w:val="24"/>
          <w:rtl/>
        </w:rPr>
        <w:t xml:space="preserve">לקחו להם את ספרי התפילה. אין להם מספיק תפילין. מערכת בריאות לא קיימת. מדכא. </w:t>
      </w:r>
      <w:r w:rsidR="00572791" w:rsidRPr="00175ECE">
        <w:rPr>
          <w:rFonts w:cs="David" w:hint="cs"/>
          <w:sz w:val="24"/>
          <w:szCs w:val="24"/>
          <w:rtl/>
        </w:rPr>
        <w:t>המקום</w:t>
      </w:r>
      <w:r w:rsidRPr="00175ECE">
        <w:rPr>
          <w:rFonts w:cs="David" w:hint="cs"/>
          <w:sz w:val="24"/>
          <w:szCs w:val="24"/>
          <w:rtl/>
        </w:rPr>
        <w:t xml:space="preserve"> היחיד שאין בו מקום זה בית הקברות היהודי. פגשתי צעירים שלו הייתה להם האפשרות, היו מנהיגי המחר. אנשים מתחננים שיכירו בהם כיהודים. יו"ר הקהילה בגונדר ובאדיס אבבה מסורים בצורה שקשה להאמין. למרות החלטת ממשלה שמעתי ממשרד הפנים תירוצים שקה להאמין. אומרים שאין להם מבנה. בניין הסוכנות מסודר. אפשר לעבוד משם. אומרים שאין מקום </w:t>
      </w:r>
      <w:r w:rsidR="00175ECE" w:rsidRPr="00175ECE">
        <w:rPr>
          <w:rFonts w:cs="David" w:hint="cs"/>
          <w:sz w:val="24"/>
          <w:szCs w:val="24"/>
          <w:rtl/>
        </w:rPr>
        <w:t>בשגרירות</w:t>
      </w:r>
      <w:r w:rsidRPr="00175ECE">
        <w:rPr>
          <w:rFonts w:cs="David" w:hint="cs"/>
          <w:sz w:val="24"/>
          <w:szCs w:val="24"/>
          <w:rtl/>
        </w:rPr>
        <w:t>. שאיזה מקום אחר לא מתאים כי אין מזגן..."</w:t>
      </w:r>
    </w:p>
    <w:p w:rsidR="00CE4886" w:rsidRPr="00175ECE" w:rsidRDefault="00CE4886" w:rsidP="00D7090C">
      <w:pPr>
        <w:spacing w:line="360" w:lineRule="auto"/>
        <w:jc w:val="both"/>
        <w:rPr>
          <w:rFonts w:cs="David"/>
          <w:sz w:val="24"/>
          <w:szCs w:val="24"/>
          <w:rtl/>
        </w:rPr>
      </w:pPr>
      <w:r w:rsidRPr="00175ECE">
        <w:rPr>
          <w:rFonts w:cs="David" w:hint="cs"/>
          <w:sz w:val="24"/>
          <w:szCs w:val="24"/>
          <w:rtl/>
        </w:rPr>
        <w:lastRenderedPageBreak/>
        <w:t xml:space="preserve">יו"ר ועדת העליה והקליטה, </w:t>
      </w:r>
      <w:r w:rsidRPr="00175ECE">
        <w:rPr>
          <w:rFonts w:cs="David" w:hint="cs"/>
          <w:b/>
          <w:bCs/>
          <w:sz w:val="24"/>
          <w:szCs w:val="24"/>
          <w:rtl/>
        </w:rPr>
        <w:t>אברהם נגוסה</w:t>
      </w:r>
      <w:r w:rsidRPr="00175ECE">
        <w:rPr>
          <w:rFonts w:cs="David" w:hint="cs"/>
          <w:sz w:val="24"/>
          <w:szCs w:val="24"/>
          <w:rtl/>
        </w:rPr>
        <w:t>: "מי קיבל את ההחלטה לא לזמן את המועמדים לראיון לקראת עליה בבית הכנסת? במקום זה החליטו לזמן אותם בטל</w:t>
      </w:r>
      <w:r w:rsidR="00175ECE">
        <w:rPr>
          <w:rFonts w:cs="David" w:hint="cs"/>
          <w:sz w:val="24"/>
          <w:szCs w:val="24"/>
          <w:rtl/>
        </w:rPr>
        <w:t>פ</w:t>
      </w:r>
      <w:r w:rsidRPr="00175ECE">
        <w:rPr>
          <w:rFonts w:cs="David" w:hint="cs"/>
          <w:sz w:val="24"/>
          <w:szCs w:val="24"/>
          <w:rtl/>
        </w:rPr>
        <w:t>ון. אבל אין להם טלפונים! החלטת הממשלה קובעת שיש להעלות הורים יחד עם ילדיהם הנוספים. במציאות הורים עולים בלי הילדים, בניגוד להוראות. אנשים באו מהכפרים כדי לעלות לישראל. הם לא תושבי קבע בעיר. הם עובדים בעבודות לא חוקיות כדי לשרוד. ואז דורשים מהם תעודת זהות שתוכיח שהם תושבי קבע בעיר. היעד היה להעלות 1300 איש עד סוף השנה. זה לא יקרה כי אתם בכוונה מקשים".</w:t>
      </w:r>
    </w:p>
    <w:p w:rsidR="00CE4886" w:rsidRPr="00175ECE" w:rsidRDefault="00CE4886" w:rsidP="00D7090C">
      <w:pPr>
        <w:spacing w:line="360" w:lineRule="auto"/>
        <w:jc w:val="both"/>
        <w:rPr>
          <w:rFonts w:cs="David"/>
          <w:sz w:val="24"/>
          <w:szCs w:val="24"/>
          <w:rtl/>
        </w:rPr>
      </w:pPr>
      <w:r w:rsidRPr="00175ECE">
        <w:rPr>
          <w:rFonts w:cs="David" w:hint="cs"/>
          <w:sz w:val="24"/>
          <w:szCs w:val="24"/>
          <w:rtl/>
        </w:rPr>
        <w:t xml:space="preserve">יו"ר ועדת הפנים </w:t>
      </w:r>
      <w:r w:rsidRPr="00175ECE">
        <w:rPr>
          <w:rFonts w:cs="David" w:hint="cs"/>
          <w:b/>
          <w:bCs/>
          <w:sz w:val="24"/>
          <w:szCs w:val="24"/>
          <w:rtl/>
        </w:rPr>
        <w:t>דודי אמסלם</w:t>
      </w:r>
      <w:r w:rsidRPr="00175ECE">
        <w:rPr>
          <w:rFonts w:cs="David" w:hint="cs"/>
          <w:sz w:val="24"/>
          <w:szCs w:val="24"/>
          <w:rtl/>
        </w:rPr>
        <w:t xml:space="preserve">: "למה משרד החוץ לא מאפשר לפקידי משרד הפנים לעבוד מהשגרירות? שהשגרירה תפנה את החדר שלה. אני הייתי נותן את החדר שלי. </w:t>
      </w:r>
      <w:r w:rsidRPr="00175ECE">
        <w:rPr>
          <w:rFonts w:cs="David" w:hint="cs"/>
          <w:b/>
          <w:bCs/>
          <w:sz w:val="24"/>
          <w:szCs w:val="24"/>
          <w:rtl/>
        </w:rPr>
        <w:t>גלית</w:t>
      </w:r>
      <w:r w:rsidR="00572791" w:rsidRPr="00175ECE">
        <w:rPr>
          <w:rFonts w:cs="David" w:hint="cs"/>
          <w:b/>
          <w:bCs/>
          <w:sz w:val="24"/>
          <w:szCs w:val="24"/>
          <w:rtl/>
        </w:rPr>
        <w:t xml:space="preserve"> אפרים</w:t>
      </w:r>
      <w:r w:rsidRPr="00175ECE">
        <w:rPr>
          <w:rFonts w:cs="David" w:hint="cs"/>
          <w:sz w:val="24"/>
          <w:szCs w:val="24"/>
          <w:rtl/>
        </w:rPr>
        <w:t xml:space="preserve">, משרד החוץ: "אנו </w:t>
      </w:r>
      <w:r w:rsidR="00175ECE" w:rsidRPr="00175ECE">
        <w:rPr>
          <w:rFonts w:cs="David" w:hint="cs"/>
          <w:sz w:val="24"/>
          <w:szCs w:val="24"/>
          <w:rtl/>
        </w:rPr>
        <w:t>מחויבים</w:t>
      </w:r>
      <w:r w:rsidRPr="00175ECE">
        <w:rPr>
          <w:rFonts w:cs="David" w:hint="cs"/>
          <w:sz w:val="24"/>
          <w:szCs w:val="24"/>
          <w:rtl/>
        </w:rPr>
        <w:t xml:space="preserve"> מאד לעניין. ב5.2 נחתם הסכם עם קבלן לבנות 5 מבנים יבילים. הוא דרש האת התוכנית יכין ארכיטקט מהארץ. המדידות הסתיימו וסומן היכן להציב את המבנים. הקבלן התחייב שתוך חודש מהצגת </w:t>
      </w:r>
      <w:r w:rsidR="00175ECE" w:rsidRPr="00175ECE">
        <w:rPr>
          <w:rFonts w:cs="David" w:hint="cs"/>
          <w:sz w:val="24"/>
          <w:szCs w:val="24"/>
          <w:rtl/>
        </w:rPr>
        <w:t>התוכנית</w:t>
      </w:r>
      <w:r w:rsidRPr="00175ECE">
        <w:rPr>
          <w:rFonts w:cs="David" w:hint="cs"/>
          <w:sz w:val="24"/>
          <w:szCs w:val="24"/>
          <w:rtl/>
        </w:rPr>
        <w:t xml:space="preserve"> המבנים יעמדו".</w:t>
      </w:r>
    </w:p>
    <w:p w:rsidR="00CE4886" w:rsidRPr="00175ECE" w:rsidRDefault="00CE4886" w:rsidP="00D7090C">
      <w:pPr>
        <w:spacing w:line="360" w:lineRule="auto"/>
        <w:jc w:val="both"/>
        <w:rPr>
          <w:rFonts w:cs="David"/>
          <w:sz w:val="24"/>
          <w:szCs w:val="24"/>
          <w:rtl/>
        </w:rPr>
      </w:pPr>
      <w:r w:rsidRPr="00175ECE">
        <w:rPr>
          <w:rFonts w:cs="David" w:hint="cs"/>
          <w:sz w:val="24"/>
          <w:szCs w:val="24"/>
          <w:rtl/>
        </w:rPr>
        <w:t xml:space="preserve">יו"ר ועדת הפנים ח"כ </w:t>
      </w:r>
      <w:r w:rsidRPr="00175ECE">
        <w:rPr>
          <w:rFonts w:cs="David" w:hint="cs"/>
          <w:b/>
          <w:bCs/>
          <w:sz w:val="24"/>
          <w:szCs w:val="24"/>
          <w:rtl/>
        </w:rPr>
        <w:t>אמסלם</w:t>
      </w:r>
      <w:r w:rsidRPr="00175ECE">
        <w:rPr>
          <w:rFonts w:cs="David" w:hint="cs"/>
          <w:sz w:val="24"/>
          <w:szCs w:val="24"/>
          <w:rtl/>
        </w:rPr>
        <w:t xml:space="preserve">: "אם אנשי שגרירות לא </w:t>
      </w:r>
      <w:r w:rsidR="00572791" w:rsidRPr="00175ECE">
        <w:rPr>
          <w:rFonts w:cs="David" w:hint="cs"/>
          <w:sz w:val="24"/>
          <w:szCs w:val="24"/>
          <w:rtl/>
        </w:rPr>
        <w:t>מסוגלים לקדם את העניין החשוב הזה, שיסגרו את השגרירות ויבואו לארץ לעבוד במס הכנסה. ברמת התוצאה זה לא הגיוני שפשוט משאירים שם את האנשים למרות החלטת ממשלה. לא יכול להיות שפקידים מתנהגים כך. כשיש משימה עובדים עד 2 בלילה. אלה בני אדם שחולים ומתים. לא יקרה במשמרת שלי שילד ימות כי לא הבאנו אותו לטיפול רפואי".</w:t>
      </w:r>
    </w:p>
    <w:p w:rsidR="00D7090C" w:rsidRPr="00175ECE" w:rsidRDefault="00D7090C" w:rsidP="00D7090C">
      <w:pPr>
        <w:spacing w:line="360" w:lineRule="auto"/>
        <w:jc w:val="both"/>
        <w:rPr>
          <w:rFonts w:cs="David"/>
          <w:sz w:val="24"/>
          <w:szCs w:val="24"/>
          <w:rtl/>
        </w:rPr>
      </w:pPr>
    </w:p>
    <w:p w:rsidR="00D7090C" w:rsidRPr="00651658" w:rsidRDefault="00D7090C" w:rsidP="00D7090C">
      <w:pPr>
        <w:spacing w:line="240" w:lineRule="auto"/>
        <w:jc w:val="both"/>
        <w:rPr>
          <w:rFonts w:cs="David"/>
          <w:sz w:val="24"/>
          <w:szCs w:val="24"/>
          <w:rtl/>
        </w:rPr>
      </w:pPr>
      <w:r w:rsidRPr="00651658">
        <w:rPr>
          <w:rFonts w:cs="David" w:hint="cs"/>
          <w:sz w:val="24"/>
          <w:szCs w:val="24"/>
          <w:rtl/>
        </w:rPr>
        <w:t xml:space="preserve">לפרטים </w:t>
      </w:r>
      <w:r w:rsidRPr="00651658">
        <w:rPr>
          <w:rFonts w:cs="David"/>
          <w:sz w:val="24"/>
          <w:szCs w:val="24"/>
          <w:rtl/>
        </w:rPr>
        <w:t>–</w:t>
      </w:r>
      <w:r w:rsidRPr="00651658">
        <w:rPr>
          <w:rFonts w:cs="David" w:hint="cs"/>
          <w:sz w:val="24"/>
          <w:szCs w:val="24"/>
          <w:rtl/>
        </w:rPr>
        <w:t xml:space="preserve"> </w:t>
      </w:r>
    </w:p>
    <w:p w:rsidR="00D7090C" w:rsidRPr="00651658" w:rsidRDefault="00D7090C" w:rsidP="00D7090C">
      <w:pPr>
        <w:spacing w:line="240" w:lineRule="auto"/>
        <w:jc w:val="both"/>
        <w:rPr>
          <w:rFonts w:cs="David"/>
          <w:sz w:val="24"/>
          <w:szCs w:val="24"/>
          <w:rtl/>
        </w:rPr>
      </w:pPr>
      <w:r w:rsidRPr="00651658">
        <w:rPr>
          <w:rFonts w:cs="David" w:hint="cs"/>
          <w:sz w:val="24"/>
          <w:szCs w:val="24"/>
          <w:rtl/>
        </w:rPr>
        <w:t>רבקה קנריק</w:t>
      </w:r>
    </w:p>
    <w:p w:rsidR="00D7090C" w:rsidRPr="00651658" w:rsidRDefault="00D7090C" w:rsidP="00D7090C">
      <w:pPr>
        <w:spacing w:line="240" w:lineRule="auto"/>
        <w:jc w:val="both"/>
        <w:rPr>
          <w:rFonts w:cs="David"/>
          <w:sz w:val="24"/>
          <w:szCs w:val="24"/>
          <w:rtl/>
        </w:rPr>
      </w:pPr>
      <w:r w:rsidRPr="00651658">
        <w:rPr>
          <w:rFonts w:cs="David" w:hint="cs"/>
          <w:sz w:val="24"/>
          <w:szCs w:val="24"/>
          <w:rtl/>
        </w:rPr>
        <w:t>דוברת ועדת הפנים והגנת הסביבה</w:t>
      </w:r>
    </w:p>
    <w:p w:rsidR="00D7090C" w:rsidRPr="00651658" w:rsidRDefault="00D7090C" w:rsidP="00D7090C">
      <w:pPr>
        <w:spacing w:line="240" w:lineRule="auto"/>
        <w:jc w:val="both"/>
        <w:rPr>
          <w:rFonts w:cs="David"/>
          <w:sz w:val="24"/>
          <w:szCs w:val="24"/>
          <w:rtl/>
        </w:rPr>
      </w:pPr>
      <w:r w:rsidRPr="00651658">
        <w:rPr>
          <w:rFonts w:cs="David" w:hint="cs"/>
          <w:sz w:val="24"/>
          <w:szCs w:val="24"/>
          <w:rtl/>
        </w:rPr>
        <w:t>והוועדה למאבק בנגעי הסמים והאלכוהול</w:t>
      </w:r>
    </w:p>
    <w:p w:rsidR="00BF039F" w:rsidRDefault="00D7090C" w:rsidP="00D7090C">
      <w:r>
        <w:rPr>
          <w:rFonts w:cs="David" w:hint="cs"/>
          <w:sz w:val="24"/>
          <w:szCs w:val="24"/>
          <w:rtl/>
        </w:rPr>
        <w:t>050-6230458</w:t>
      </w:r>
    </w:p>
    <w:sectPr w:rsidR="00BF039F" w:rsidSect="0064481B">
      <w:pgSz w:w="11906" w:h="16838"/>
      <w:pgMar w:top="1440" w:right="1800" w:bottom="1440" w:left="1800" w:header="708" w:footer="708" w:gutter="0"/>
      <w:cols w:space="708"/>
      <w:bidi/>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7090C"/>
    <w:rsid w:val="00175ECE"/>
    <w:rsid w:val="00572791"/>
    <w:rsid w:val="0064481B"/>
    <w:rsid w:val="00812234"/>
    <w:rsid w:val="00CB7313"/>
    <w:rsid w:val="00CE4886"/>
    <w:rsid w:val="00D7090C"/>
    <w:rsid w:val="00ED1180"/>
    <w:rsid w:val="00FC7632"/>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4353AC33-5256-4E10-9737-1B90145B5E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7090C"/>
    <w:pPr>
      <w:bidi/>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customXml" Target="../customXml/item2.xml"/><Relationship Id="rId3" Type="http://schemas.openxmlformats.org/officeDocument/2006/relationships/webSettings" Target="webSettings.xml"/><Relationship Id="rId7" Type="http://schemas.openxmlformats.org/officeDocument/2006/relationships/customXml" Target="../customXml/item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jpeg"/><Relationship Id="rId9" Type="http://schemas.openxmlformats.org/officeDocument/2006/relationships/customXml" Target="../customXml/item3.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66A4510C-5AB3-4911-980A-0FBC2652AB3A}"/>
</file>

<file path=customXml/itemProps2.xml><?xml version="1.0" encoding="utf-8"?>
<ds:datastoreItem xmlns:ds="http://schemas.openxmlformats.org/officeDocument/2006/customXml" ds:itemID="{7FA20C0D-3096-4AC5-B9A1-1B7D3746B8E1}"/>
</file>

<file path=customXml/itemProps3.xml><?xml version="1.0" encoding="utf-8"?>
<ds:datastoreItem xmlns:ds="http://schemas.openxmlformats.org/officeDocument/2006/customXml" ds:itemID="{B0430A64-FB38-47C2-B930-CB742013AABA}"/>
</file>

<file path=docProps/app.xml><?xml version="1.0" encoding="utf-8"?>
<Properties xmlns="http://schemas.openxmlformats.org/officeDocument/2006/extended-properties" xmlns:vt="http://schemas.openxmlformats.org/officeDocument/2006/docPropsVTypes">
  <Template>Normal</Template>
  <TotalTime>1</TotalTime>
  <Pages>2</Pages>
  <Words>407</Words>
  <Characters>2038</Characters>
  <Application>Microsoft Office Word</Application>
  <DocSecurity>0</DocSecurity>
  <Lines>16</Lines>
  <Paragraphs>4</Paragraphs>
  <ScaleCrop>false</ScaleCrop>
  <HeadingPairs>
    <vt:vector size="2" baseType="variant">
      <vt:variant>
        <vt:lpstr>שם</vt:lpstr>
      </vt:variant>
      <vt:variant>
        <vt:i4>1</vt:i4>
      </vt:variant>
    </vt:vector>
  </HeadingPairs>
  <TitlesOfParts>
    <vt:vector size="1" baseType="lpstr">
      <vt:lpstr/>
    </vt:vector>
  </TitlesOfParts>
  <Company>Knesset of Israel</Company>
  <LinksUpToDate>false</LinksUpToDate>
  <CharactersWithSpaces>2441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רבקה קנריק</dc:creator>
  <cp:keywords/>
  <dc:description/>
  <cp:lastModifiedBy>דולי הודיה שמעוני</cp:lastModifiedBy>
  <cp:revision>2</cp:revision>
  <dcterms:created xsi:type="dcterms:W3CDTF">2017-03-21T12:50:00Z</dcterms:created>
  <dcterms:modified xsi:type="dcterms:W3CDTF">2017-03-21T12:50:00Z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SanhedrinDocumentType">
    <vt:r8>133</vt:r8>
  </property>
  <property fmtid="{D5CDD505-2E9C-101B-9397-08002B2CF9AE}" pid="4" name="SanhedrinItemID">
    <vt:r8>2014621</vt:r8>
  </property>
</Properties>
</file>