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A73" w:rsidRDefault="00FA1A73" w:rsidP="00FA1A73">
      <w:pPr>
        <w:bidi w:val="0"/>
        <w:jc w:val="center"/>
        <w:rPr>
          <w:color w:val="000080"/>
        </w:rPr>
      </w:pPr>
      <w:r>
        <w:rPr>
          <w:noProof/>
          <w:color w:val="000080"/>
        </w:rPr>
        <w:drawing>
          <wp:inline distT="0" distB="0" distL="0" distR="0" wp14:anchorId="24542D57" wp14:editId="4C5C38C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FA1A73" w:rsidRDefault="00FA1A73" w:rsidP="00FA1A73">
      <w:pPr>
        <w:bidi w:val="0"/>
        <w:spacing w:after="120"/>
        <w:jc w:val="center"/>
        <w:rPr>
          <w:rFonts w:cs="David"/>
          <w:b/>
          <w:bCs/>
          <w:color w:val="000080"/>
          <w:sz w:val="26"/>
          <w:szCs w:val="26"/>
        </w:rPr>
      </w:pPr>
      <w:r>
        <w:rPr>
          <w:rFonts w:cs="David" w:hint="cs"/>
          <w:b/>
          <w:bCs/>
          <w:color w:val="000080"/>
          <w:sz w:val="26"/>
          <w:szCs w:val="26"/>
          <w:rtl/>
        </w:rPr>
        <w:t>הכנסת</w:t>
      </w:r>
    </w:p>
    <w:p w:rsidR="00FA1A73" w:rsidRDefault="00FA1A73" w:rsidP="00FA1A73">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FA1A73" w:rsidRDefault="00FA1A73" w:rsidP="00FA1A73">
      <w:pPr>
        <w:bidi w:val="0"/>
        <w:spacing w:line="280" w:lineRule="atLeast"/>
      </w:pPr>
    </w:p>
    <w:p w:rsidR="00FA1A73" w:rsidRDefault="00FA1A73" w:rsidP="00FA1A73">
      <w:pPr>
        <w:bidi w:val="0"/>
        <w:spacing w:line="280" w:lineRule="atLeast"/>
        <w:jc w:val="center"/>
        <w:rPr>
          <w:b/>
          <w:bCs/>
          <w:color w:val="000080"/>
          <w:sz w:val="26"/>
          <w:szCs w:val="26"/>
          <w:rtl/>
        </w:rPr>
      </w:pPr>
    </w:p>
    <w:p w:rsidR="00FA1A73" w:rsidRDefault="00FA1A73" w:rsidP="00FA1A73">
      <w:pPr>
        <w:bidi w:val="0"/>
        <w:spacing w:line="280" w:lineRule="atLeast"/>
      </w:pPr>
      <w:r>
        <w:rPr>
          <w:rtl/>
        </w:rPr>
        <w:t>ירושלים</w:t>
      </w:r>
      <w:r>
        <w:rPr>
          <w:rFonts w:hint="cs"/>
          <w:rtl/>
        </w:rPr>
        <w:t xml:space="preserve"> , י"ט אייר תשע"ז</w:t>
      </w:r>
    </w:p>
    <w:p w:rsidR="00FA1A73" w:rsidRDefault="00FA1A73" w:rsidP="00FA1A73">
      <w:pPr>
        <w:bidi w:val="0"/>
        <w:spacing w:line="280" w:lineRule="atLeast"/>
      </w:pPr>
      <w:r>
        <w:rPr>
          <w:rFonts w:hint="cs"/>
          <w:rtl/>
        </w:rPr>
        <w:t>15.5.2017</w:t>
      </w:r>
    </w:p>
    <w:p w:rsidR="00FA1A73" w:rsidRDefault="00FA1A73" w:rsidP="00FA1A73">
      <w:pPr>
        <w:jc w:val="center"/>
        <w:rPr>
          <w:b/>
          <w:bCs/>
          <w:sz w:val="40"/>
          <w:szCs w:val="40"/>
          <w:u w:val="single"/>
          <w:rtl/>
        </w:rPr>
      </w:pPr>
      <w:bookmarkStart w:id="0" w:name="_GoBack"/>
      <w:r w:rsidRPr="0079505C">
        <w:rPr>
          <w:rFonts w:hint="cs"/>
          <w:b/>
          <w:bCs/>
          <w:sz w:val="40"/>
          <w:szCs w:val="40"/>
          <w:u w:val="single"/>
          <w:rtl/>
        </w:rPr>
        <w:t>הודעה לעיתונות</w:t>
      </w:r>
    </w:p>
    <w:p w:rsidR="00EC7D21" w:rsidRPr="00EC7D21" w:rsidRDefault="00EC7D21" w:rsidP="00FA1A73">
      <w:pPr>
        <w:jc w:val="center"/>
        <w:rPr>
          <w:sz w:val="32"/>
          <w:szCs w:val="32"/>
          <w:u w:val="single"/>
          <w:rtl/>
        </w:rPr>
      </w:pPr>
      <w:r w:rsidRPr="00EC7D21">
        <w:rPr>
          <w:rFonts w:hint="cs"/>
          <w:sz w:val="32"/>
          <w:szCs w:val="32"/>
          <w:u w:val="single"/>
          <w:rtl/>
        </w:rPr>
        <w:t>יו"ר ועדת הפנים דודי אמסלם, שרוצה להנהיג בדיקת פוליגרף אחת לשלוש שנים בקרב כל קציני החקירות במשטרה:</w:t>
      </w:r>
    </w:p>
    <w:p w:rsidR="00EC7D21" w:rsidRPr="00EC7D21" w:rsidRDefault="00EC7D21" w:rsidP="00EC7D21">
      <w:pPr>
        <w:spacing w:line="240" w:lineRule="auto"/>
        <w:jc w:val="center"/>
        <w:rPr>
          <w:rFonts w:cs="David"/>
          <w:b/>
          <w:bCs/>
          <w:sz w:val="56"/>
          <w:szCs w:val="56"/>
          <w:rtl/>
        </w:rPr>
      </w:pPr>
      <w:r w:rsidRPr="00EC7D21">
        <w:rPr>
          <w:rFonts w:cs="David" w:hint="cs"/>
          <w:b/>
          <w:bCs/>
          <w:sz w:val="56"/>
          <w:szCs w:val="56"/>
          <w:rtl/>
        </w:rPr>
        <w:t xml:space="preserve">"אני דואג לזכויות אזרח של האזרחים. איך אתם </w:t>
      </w:r>
      <w:proofErr w:type="spellStart"/>
      <w:r w:rsidRPr="00EC7D21">
        <w:rPr>
          <w:rFonts w:cs="David" w:hint="cs"/>
          <w:b/>
          <w:bCs/>
          <w:sz w:val="56"/>
          <w:szCs w:val="56"/>
          <w:rtl/>
        </w:rPr>
        <w:t>מגינים</w:t>
      </w:r>
      <w:proofErr w:type="spellEnd"/>
      <w:r w:rsidRPr="00EC7D21">
        <w:rPr>
          <w:rFonts w:cs="David" w:hint="cs"/>
          <w:b/>
          <w:bCs/>
          <w:sz w:val="56"/>
          <w:szCs w:val="56"/>
          <w:rtl/>
        </w:rPr>
        <w:t xml:space="preserve"> עליהם?"</w:t>
      </w:r>
    </w:p>
    <w:p w:rsidR="00EC7D21" w:rsidRDefault="00EC7D21" w:rsidP="00FA1A73">
      <w:pPr>
        <w:jc w:val="center"/>
        <w:rPr>
          <w:b/>
          <w:bCs/>
          <w:sz w:val="40"/>
          <w:szCs w:val="40"/>
          <w:u w:val="single"/>
          <w:rtl/>
        </w:rPr>
      </w:pPr>
    </w:p>
    <w:p w:rsidR="00EC7D21" w:rsidRDefault="00EC7D21" w:rsidP="00EC7D21">
      <w:pPr>
        <w:spacing w:line="360" w:lineRule="auto"/>
        <w:jc w:val="both"/>
        <w:rPr>
          <w:rFonts w:cs="David"/>
          <w:sz w:val="24"/>
          <w:szCs w:val="24"/>
          <w:rtl/>
        </w:rPr>
      </w:pPr>
      <w:r>
        <w:rPr>
          <w:rFonts w:cs="David" w:hint="cs"/>
          <w:sz w:val="24"/>
          <w:szCs w:val="24"/>
          <w:rtl/>
        </w:rPr>
        <w:t>"זו הצעת חוק רגישה ותקדימית. המצב הק</w:t>
      </w:r>
      <w:r>
        <w:rPr>
          <w:rFonts w:cs="David" w:hint="cs"/>
          <w:sz w:val="24"/>
          <w:szCs w:val="24"/>
          <w:rtl/>
        </w:rPr>
        <w:t>י</w:t>
      </w:r>
      <w:r>
        <w:rPr>
          <w:rFonts w:cs="David" w:hint="cs"/>
          <w:sz w:val="24"/>
          <w:szCs w:val="24"/>
          <w:rtl/>
        </w:rPr>
        <w:t>ים הוא שהשימוש בפוליגרף לא מותר לרשות שלטונית אלא לתכלית ב</w:t>
      </w:r>
      <w:r>
        <w:rPr>
          <w:rFonts w:cs="David" w:hint="cs"/>
          <w:sz w:val="24"/>
          <w:szCs w:val="24"/>
          <w:rtl/>
        </w:rPr>
        <w:t>י</w:t>
      </w:r>
      <w:r>
        <w:rPr>
          <w:rFonts w:cs="David" w:hint="cs"/>
          <w:sz w:val="24"/>
          <w:szCs w:val="24"/>
          <w:rtl/>
        </w:rPr>
        <w:t>טחונית</w:t>
      </w:r>
      <w:r>
        <w:rPr>
          <w:rFonts w:cs="David" w:hint="cs"/>
          <w:sz w:val="24"/>
          <w:szCs w:val="24"/>
          <w:rtl/>
        </w:rPr>
        <w:t xml:space="preserve">," אמרה </w:t>
      </w:r>
      <w:r w:rsidR="00DC7F81">
        <w:rPr>
          <w:rFonts w:cs="David" w:hint="cs"/>
          <w:sz w:val="24"/>
          <w:szCs w:val="24"/>
          <w:rtl/>
        </w:rPr>
        <w:t xml:space="preserve">עו"ד </w:t>
      </w:r>
      <w:proofErr w:type="spellStart"/>
      <w:r w:rsidR="00DC7F81" w:rsidRPr="00EC7D21">
        <w:rPr>
          <w:rFonts w:cs="David" w:hint="cs"/>
          <w:b/>
          <w:bCs/>
          <w:sz w:val="24"/>
          <w:szCs w:val="24"/>
          <w:rtl/>
        </w:rPr>
        <w:t>צילי</w:t>
      </w:r>
      <w:proofErr w:type="spellEnd"/>
      <w:r w:rsidR="00DC7F81" w:rsidRPr="00EC7D21">
        <w:rPr>
          <w:rFonts w:cs="David" w:hint="cs"/>
          <w:b/>
          <w:bCs/>
          <w:sz w:val="24"/>
          <w:szCs w:val="24"/>
          <w:rtl/>
        </w:rPr>
        <w:t xml:space="preserve"> נאה</w:t>
      </w:r>
      <w:r w:rsidR="00DC7F81">
        <w:rPr>
          <w:rFonts w:cs="David" w:hint="cs"/>
          <w:sz w:val="24"/>
          <w:szCs w:val="24"/>
          <w:rtl/>
        </w:rPr>
        <w:t xml:space="preserve">, </w:t>
      </w:r>
      <w:r>
        <w:rPr>
          <w:rFonts w:cs="David" w:hint="cs"/>
          <w:sz w:val="24"/>
          <w:szCs w:val="24"/>
          <w:rtl/>
        </w:rPr>
        <w:t>מ</w:t>
      </w:r>
      <w:r w:rsidR="00DC7F81">
        <w:rPr>
          <w:rFonts w:cs="David" w:hint="cs"/>
          <w:sz w:val="24"/>
          <w:szCs w:val="24"/>
          <w:rtl/>
        </w:rPr>
        <w:t>משרד המשפטים</w:t>
      </w:r>
      <w:r>
        <w:rPr>
          <w:rFonts w:cs="David" w:hint="cs"/>
          <w:sz w:val="24"/>
          <w:szCs w:val="24"/>
          <w:rtl/>
        </w:rPr>
        <w:t xml:space="preserve">, בדיון ועדת הפנים בראשות ח"כ </w:t>
      </w:r>
      <w:r w:rsidRPr="00EC7D21">
        <w:rPr>
          <w:rFonts w:cs="David" w:hint="cs"/>
          <w:b/>
          <w:bCs/>
          <w:sz w:val="24"/>
          <w:szCs w:val="24"/>
          <w:rtl/>
        </w:rPr>
        <w:t>דודי אמסלם</w:t>
      </w:r>
      <w:r>
        <w:rPr>
          <w:rFonts w:cs="David" w:hint="cs"/>
          <w:sz w:val="24"/>
          <w:szCs w:val="24"/>
          <w:rtl/>
        </w:rPr>
        <w:t>, על הצעת חוק לתיקון פקודת המשטרה לפיה יותר שימוש בפוליגרף במבחני מיון לשוטרים חדשים, במבדקי התאמה תעסוקתית לקצינים לפני קידום ואחת לחמש שנים לקצינים בכירים. "</w:t>
      </w:r>
      <w:r w:rsidR="00DC7F81">
        <w:rPr>
          <w:rFonts w:cs="David" w:hint="cs"/>
          <w:sz w:val="24"/>
          <w:szCs w:val="24"/>
          <w:rtl/>
        </w:rPr>
        <w:t xml:space="preserve"> הצעת החוק משנה מצב קיים. כלי הפוליגרף פוגע </w:t>
      </w:r>
      <w:r w:rsidR="003204EA">
        <w:rPr>
          <w:rFonts w:cs="David" w:hint="cs"/>
          <w:sz w:val="24"/>
          <w:szCs w:val="24"/>
          <w:rtl/>
        </w:rPr>
        <w:t>בזכויות יסוד וזה מעוגן בהנחיות היועץ המשפטי לממשלה"</w:t>
      </w:r>
      <w:r>
        <w:rPr>
          <w:rFonts w:cs="David" w:hint="cs"/>
          <w:sz w:val="24"/>
          <w:szCs w:val="24"/>
          <w:rtl/>
        </w:rPr>
        <w:t>.</w:t>
      </w:r>
    </w:p>
    <w:p w:rsidR="00DC7F81" w:rsidRDefault="003204EA" w:rsidP="00EC7D21">
      <w:pPr>
        <w:spacing w:line="360" w:lineRule="auto"/>
        <w:jc w:val="both"/>
        <w:rPr>
          <w:rFonts w:cs="David"/>
          <w:sz w:val="24"/>
          <w:szCs w:val="24"/>
          <w:rtl/>
        </w:rPr>
      </w:pPr>
      <w:r>
        <w:rPr>
          <w:rFonts w:cs="David" w:hint="cs"/>
          <w:sz w:val="24"/>
          <w:szCs w:val="24"/>
          <w:rtl/>
        </w:rPr>
        <w:t xml:space="preserve">יו"ר הוועדה, ח"כ </w:t>
      </w:r>
      <w:r w:rsidRPr="00EC7D21">
        <w:rPr>
          <w:rFonts w:cs="David" w:hint="cs"/>
          <w:b/>
          <w:bCs/>
          <w:sz w:val="24"/>
          <w:szCs w:val="24"/>
          <w:rtl/>
        </w:rPr>
        <w:t>אמסלם</w:t>
      </w:r>
      <w:r>
        <w:rPr>
          <w:rFonts w:cs="David" w:hint="cs"/>
          <w:sz w:val="24"/>
          <w:szCs w:val="24"/>
          <w:rtl/>
        </w:rPr>
        <w:t xml:space="preserve">: "חוק גובר על הנחיות יועץ. אנו באים להסדיר זאת חוקית". עו"ד </w:t>
      </w:r>
      <w:r w:rsidRPr="00EC7D21">
        <w:rPr>
          <w:rFonts w:cs="David" w:hint="cs"/>
          <w:b/>
          <w:bCs/>
          <w:sz w:val="24"/>
          <w:szCs w:val="24"/>
          <w:rtl/>
        </w:rPr>
        <w:t>נאה</w:t>
      </w:r>
      <w:r>
        <w:rPr>
          <w:rFonts w:cs="David" w:hint="cs"/>
          <w:sz w:val="24"/>
          <w:szCs w:val="24"/>
          <w:rtl/>
        </w:rPr>
        <w:t xml:space="preserve">: "בגלל שזה פוגע בזכויות יסוד, זה צריך לעמוד במבחנים חוקתיים". יו"ר הוועדה, ח"כ </w:t>
      </w:r>
      <w:r w:rsidRPr="00EC7D21">
        <w:rPr>
          <w:rFonts w:cs="David" w:hint="cs"/>
          <w:b/>
          <w:bCs/>
          <w:sz w:val="24"/>
          <w:szCs w:val="24"/>
          <w:rtl/>
        </w:rPr>
        <w:t>אמסלם</w:t>
      </w:r>
      <w:r>
        <w:rPr>
          <w:rFonts w:cs="David" w:hint="cs"/>
          <w:sz w:val="24"/>
          <w:szCs w:val="24"/>
          <w:rtl/>
        </w:rPr>
        <w:t xml:space="preserve">: "אני דואג לזכויות אזרח של האזרחים. איך אתם </w:t>
      </w:r>
      <w:proofErr w:type="spellStart"/>
      <w:r>
        <w:rPr>
          <w:rFonts w:cs="David" w:hint="cs"/>
          <w:sz w:val="24"/>
          <w:szCs w:val="24"/>
          <w:rtl/>
        </w:rPr>
        <w:t>מגינים</w:t>
      </w:r>
      <w:proofErr w:type="spellEnd"/>
      <w:r>
        <w:rPr>
          <w:rFonts w:cs="David" w:hint="cs"/>
          <w:sz w:val="24"/>
          <w:szCs w:val="24"/>
          <w:rtl/>
        </w:rPr>
        <w:t xml:space="preserve"> עליהם?"</w:t>
      </w:r>
    </w:p>
    <w:p w:rsidR="003204EA" w:rsidRDefault="003204EA" w:rsidP="003204EA">
      <w:pPr>
        <w:spacing w:line="360" w:lineRule="auto"/>
        <w:jc w:val="both"/>
        <w:rPr>
          <w:rFonts w:cs="David" w:hint="cs"/>
          <w:sz w:val="24"/>
          <w:szCs w:val="24"/>
          <w:rtl/>
        </w:rPr>
      </w:pPr>
      <w:r>
        <w:rPr>
          <w:rFonts w:cs="David" w:hint="cs"/>
          <w:sz w:val="24"/>
          <w:szCs w:val="24"/>
          <w:rtl/>
        </w:rPr>
        <w:t xml:space="preserve">עוד אמר יו"ר הוועדה ח"כ </w:t>
      </w:r>
      <w:r w:rsidRPr="00EC7D21">
        <w:rPr>
          <w:rFonts w:cs="David" w:hint="cs"/>
          <w:b/>
          <w:bCs/>
          <w:sz w:val="24"/>
          <w:szCs w:val="24"/>
          <w:rtl/>
        </w:rPr>
        <w:t>אמסלם</w:t>
      </w:r>
      <w:r>
        <w:rPr>
          <w:rFonts w:cs="David" w:hint="cs"/>
          <w:sz w:val="24"/>
          <w:szCs w:val="24"/>
          <w:rtl/>
        </w:rPr>
        <w:t>: "היוזמה הייתה מצד המשטרה. אתם ביקשתם להשתמש גם בפוליגרף במיונים למשטרה, וגם לבדוק אחת לחמש שנים 20 ניצבים. אני חשבתי להרחיב את השימוש ב</w:t>
      </w:r>
      <w:r w:rsidR="00EC7D21">
        <w:rPr>
          <w:rFonts w:cs="David" w:hint="cs"/>
          <w:sz w:val="24"/>
          <w:szCs w:val="24"/>
          <w:rtl/>
        </w:rPr>
        <w:t>כ</w:t>
      </w:r>
      <w:r>
        <w:rPr>
          <w:rFonts w:cs="David" w:hint="cs"/>
          <w:sz w:val="24"/>
          <w:szCs w:val="24"/>
          <w:rtl/>
        </w:rPr>
        <w:t>לי הזה לכל קציני החקירות. שאלתי כמה יש, אמרו לי 1400. אם כל קצין מתבקש לעשות פוליגרף אחת לשלוש שנים, זה 500 בשנה".</w:t>
      </w:r>
    </w:p>
    <w:p w:rsidR="003204EA" w:rsidRDefault="003204EA" w:rsidP="003204EA">
      <w:pPr>
        <w:spacing w:line="360" w:lineRule="auto"/>
        <w:jc w:val="both"/>
        <w:rPr>
          <w:rFonts w:cs="David" w:hint="cs"/>
          <w:sz w:val="24"/>
          <w:szCs w:val="24"/>
          <w:rtl/>
        </w:rPr>
      </w:pPr>
      <w:r>
        <w:rPr>
          <w:rFonts w:cs="David" w:hint="cs"/>
          <w:sz w:val="24"/>
          <w:szCs w:val="24"/>
          <w:rtl/>
        </w:rPr>
        <w:t xml:space="preserve">נצ"מ </w:t>
      </w:r>
      <w:r w:rsidRPr="00EC7D21">
        <w:rPr>
          <w:rFonts w:cs="David" w:hint="cs"/>
          <w:b/>
          <w:bCs/>
          <w:sz w:val="24"/>
          <w:szCs w:val="24"/>
          <w:rtl/>
        </w:rPr>
        <w:t>אלעזר כהנא,</w:t>
      </w:r>
      <w:r>
        <w:rPr>
          <w:rFonts w:cs="David" w:hint="cs"/>
          <w:sz w:val="24"/>
          <w:szCs w:val="24"/>
          <w:rtl/>
        </w:rPr>
        <w:t xml:space="preserve"> המשנה ליועץ המשפטי לממשלה: "כל המהלך של פוליגרף הוא למקרים חריגים, ורק על בסיס חשש, כשהפוליגרף הוא </w:t>
      </w:r>
      <w:r w:rsidR="00494F8B">
        <w:rPr>
          <w:rFonts w:cs="David" w:hint="cs"/>
          <w:sz w:val="24"/>
          <w:szCs w:val="24"/>
          <w:rtl/>
        </w:rPr>
        <w:t xml:space="preserve">בקצה, רק אם התעוררו סימני שאלה במהלך בדיקת התאמה תעסוקתית לפני גיוס או לקראת קידום. בדיקה אחת לחמש שנים רצינו רק לתפקידים </w:t>
      </w:r>
      <w:r w:rsidR="00494F8B">
        <w:rPr>
          <w:rFonts w:cs="David" w:hint="cs"/>
          <w:sz w:val="24"/>
          <w:szCs w:val="24"/>
          <w:rtl/>
        </w:rPr>
        <w:lastRenderedPageBreak/>
        <w:t xml:space="preserve">מאד בכירים, ששם לכל כשל יש השלכה. שם יש הצדקה. גם זה לא עבר בקלות. הרציונל שזה מיועד לקבוצה מאד </w:t>
      </w:r>
      <w:r w:rsidR="00EC7D21">
        <w:rPr>
          <w:rFonts w:cs="David" w:hint="cs"/>
          <w:sz w:val="24"/>
          <w:szCs w:val="24"/>
          <w:rtl/>
        </w:rPr>
        <w:t>מצומצמת</w:t>
      </w:r>
      <w:r w:rsidR="00494F8B">
        <w:rPr>
          <w:rFonts w:cs="David" w:hint="cs"/>
          <w:sz w:val="24"/>
          <w:szCs w:val="24"/>
          <w:rtl/>
        </w:rPr>
        <w:t xml:space="preserve"> של מאד בכירים. לא להחיל על עוד 1500 איש. יש לזה גם היבט תקציבי".</w:t>
      </w:r>
    </w:p>
    <w:p w:rsidR="000B290A" w:rsidRDefault="00494F8B" w:rsidP="000B290A">
      <w:pPr>
        <w:spacing w:line="360" w:lineRule="auto"/>
        <w:jc w:val="both"/>
        <w:rPr>
          <w:rFonts w:cs="David"/>
          <w:sz w:val="24"/>
          <w:szCs w:val="24"/>
          <w:rtl/>
        </w:rPr>
      </w:pPr>
      <w:r>
        <w:rPr>
          <w:rFonts w:cs="David" w:hint="cs"/>
          <w:sz w:val="24"/>
          <w:szCs w:val="24"/>
          <w:rtl/>
        </w:rPr>
        <w:t xml:space="preserve">יו"ר הוועדה ח"כ </w:t>
      </w:r>
      <w:r w:rsidRPr="00EC7D21">
        <w:rPr>
          <w:rFonts w:cs="David" w:hint="cs"/>
          <w:b/>
          <w:bCs/>
          <w:sz w:val="24"/>
          <w:szCs w:val="24"/>
          <w:rtl/>
        </w:rPr>
        <w:t>אמסלם</w:t>
      </w:r>
      <w:r>
        <w:rPr>
          <w:rFonts w:cs="David" w:hint="cs"/>
          <w:sz w:val="24"/>
          <w:szCs w:val="24"/>
          <w:rtl/>
        </w:rPr>
        <w:t xml:space="preserve">: "בדקתי. </w:t>
      </w:r>
      <w:r w:rsidR="000B290A">
        <w:rPr>
          <w:rFonts w:cs="David" w:hint="cs"/>
          <w:sz w:val="24"/>
          <w:szCs w:val="24"/>
          <w:rtl/>
        </w:rPr>
        <w:t xml:space="preserve">זה </w:t>
      </w:r>
      <w:r>
        <w:rPr>
          <w:rFonts w:cs="David" w:hint="cs"/>
          <w:sz w:val="24"/>
          <w:szCs w:val="24"/>
          <w:rtl/>
        </w:rPr>
        <w:t xml:space="preserve">יעלה פחות מהיועץ האסטרטגי של המשטרה. קציני חקירות מקבלים החלטות על מעצרים. חשבתי שנשמור על המערכת. רובם אנשים טובים. אם זה יהיה נוהל, אף אחד לא </w:t>
      </w:r>
      <w:proofErr w:type="spellStart"/>
      <w:r>
        <w:rPr>
          <w:rFonts w:cs="David" w:hint="cs"/>
          <w:sz w:val="24"/>
          <w:szCs w:val="24"/>
          <w:rtl/>
        </w:rPr>
        <w:t>יקח</w:t>
      </w:r>
      <w:proofErr w:type="spellEnd"/>
      <w:r>
        <w:rPr>
          <w:rFonts w:cs="David" w:hint="cs"/>
          <w:sz w:val="24"/>
          <w:szCs w:val="24"/>
          <w:rtl/>
        </w:rPr>
        <w:t xml:space="preserve"> את זה אישית. לא חובה לשרת במשטרה. זה יהיה חלק מתנאי ההעסקה. לא הצלחתי להבין מה זה מפריע למישהו. אני מנסה לטייב את המערכת. כולנו בני אדם, רובם </w:t>
      </w:r>
      <w:r w:rsidR="000B290A">
        <w:rPr>
          <w:rFonts w:cs="David" w:hint="cs"/>
          <w:sz w:val="24"/>
          <w:szCs w:val="24"/>
          <w:rtl/>
        </w:rPr>
        <w:t>מצוינים</w:t>
      </w:r>
      <w:r>
        <w:rPr>
          <w:rFonts w:cs="David" w:hint="cs"/>
          <w:sz w:val="24"/>
          <w:szCs w:val="24"/>
          <w:rtl/>
        </w:rPr>
        <w:t xml:space="preserve">, חלקם מצטיינים וחלקם לא כל כך. זו מערכת רגישה עם סמכויות דרמטיות, לכן אני מעביר אותם עוד תהליך. אני רוצה שכולם יאמינו במשטרה </w:t>
      </w:r>
      <w:r w:rsidR="000B290A">
        <w:rPr>
          <w:rFonts w:cs="David" w:hint="cs"/>
          <w:sz w:val="24"/>
          <w:szCs w:val="24"/>
          <w:rtl/>
        </w:rPr>
        <w:t xml:space="preserve">על </w:t>
      </w:r>
      <w:r>
        <w:rPr>
          <w:rFonts w:cs="David" w:hint="cs"/>
          <w:sz w:val="24"/>
          <w:szCs w:val="24"/>
          <w:rtl/>
        </w:rPr>
        <w:t>עיוור וידעו שאם שוטר טעה, זה היה בתום לב, כולנו טועים. ההצעה באה לשקם את תדמית המשטרה".</w:t>
      </w:r>
      <w:r w:rsidR="00EC7D21" w:rsidRPr="00EC7D21">
        <w:rPr>
          <w:rFonts w:cs="David" w:hint="cs"/>
          <w:sz w:val="24"/>
          <w:szCs w:val="24"/>
          <w:rtl/>
        </w:rPr>
        <w:t xml:space="preserve"> </w:t>
      </w:r>
    </w:p>
    <w:p w:rsidR="00EC7D21" w:rsidRDefault="00EC7D21" w:rsidP="000B290A">
      <w:pPr>
        <w:spacing w:line="360" w:lineRule="auto"/>
        <w:jc w:val="both"/>
        <w:rPr>
          <w:rFonts w:cs="David" w:hint="cs"/>
          <w:sz w:val="24"/>
          <w:szCs w:val="24"/>
          <w:rtl/>
        </w:rPr>
      </w:pPr>
      <w:r>
        <w:rPr>
          <w:rFonts w:cs="David" w:hint="cs"/>
          <w:sz w:val="24"/>
          <w:szCs w:val="24"/>
          <w:rtl/>
        </w:rPr>
        <w:t xml:space="preserve">ח"כ </w:t>
      </w:r>
      <w:r w:rsidRPr="000B290A">
        <w:rPr>
          <w:rFonts w:cs="David" w:hint="cs"/>
          <w:b/>
          <w:bCs/>
          <w:sz w:val="24"/>
          <w:szCs w:val="24"/>
          <w:rtl/>
        </w:rPr>
        <w:t>בני בגין</w:t>
      </w:r>
      <w:r>
        <w:rPr>
          <w:rFonts w:cs="David" w:hint="cs"/>
          <w:sz w:val="24"/>
          <w:szCs w:val="24"/>
          <w:rtl/>
        </w:rPr>
        <w:t xml:space="preserve">: "בשלוש השנים האחרונות ערכתם במשטרה מספר בדיקות שנועדו לבדוק התאמת קצינים לקידום. מבין אלה שהתגלה אצלם סימן שאלה כלשהו, כמה ערערו על ההחלטה? כמה </w:t>
      </w:r>
      <w:proofErr w:type="spellStart"/>
      <w:r>
        <w:rPr>
          <w:rFonts w:cs="David" w:hint="cs"/>
          <w:sz w:val="24"/>
          <w:szCs w:val="24"/>
          <w:rtl/>
        </w:rPr>
        <w:t>סורבו</w:t>
      </w:r>
      <w:proofErr w:type="spellEnd"/>
      <w:r>
        <w:rPr>
          <w:rFonts w:cs="David" w:hint="cs"/>
          <w:sz w:val="24"/>
          <w:szCs w:val="24"/>
          <w:rtl/>
        </w:rPr>
        <w:t xml:space="preserve"> לקידום? אם המערערים מעטים, ניתן להסתפק בכך ואין צורך בפוליגרף". יו"ר הוועדה, ח"כ </w:t>
      </w:r>
      <w:r w:rsidRPr="000B290A">
        <w:rPr>
          <w:rFonts w:cs="David" w:hint="cs"/>
          <w:b/>
          <w:bCs/>
          <w:sz w:val="24"/>
          <w:szCs w:val="24"/>
          <w:rtl/>
        </w:rPr>
        <w:t>דודי אמסלם</w:t>
      </w:r>
      <w:r>
        <w:rPr>
          <w:rFonts w:cs="David" w:hint="cs"/>
          <w:sz w:val="24"/>
          <w:szCs w:val="24"/>
          <w:rtl/>
        </w:rPr>
        <w:t>: "מבין 1</w:t>
      </w:r>
      <w:r w:rsidR="000B290A">
        <w:rPr>
          <w:rFonts w:cs="David" w:hint="cs"/>
          <w:sz w:val="24"/>
          <w:szCs w:val="24"/>
          <w:rtl/>
        </w:rPr>
        <w:t xml:space="preserve">2-15% של אלה שהתגלו אצלם סימני </w:t>
      </w:r>
      <w:r>
        <w:rPr>
          <w:rFonts w:cs="David" w:hint="cs"/>
          <w:sz w:val="24"/>
          <w:szCs w:val="24"/>
          <w:rtl/>
        </w:rPr>
        <w:t xml:space="preserve">שאלה, כמה </w:t>
      </w:r>
      <w:r w:rsidR="000B290A">
        <w:rPr>
          <w:rFonts w:cs="David" w:hint="cs"/>
          <w:sz w:val="24"/>
          <w:szCs w:val="24"/>
          <w:rtl/>
        </w:rPr>
        <w:t>נותרו</w:t>
      </w:r>
      <w:r>
        <w:rPr>
          <w:rFonts w:cs="David" w:hint="cs"/>
          <w:sz w:val="24"/>
          <w:szCs w:val="24"/>
          <w:rtl/>
        </w:rPr>
        <w:t xml:space="preserve"> אחרי שבררתם את סימני השאלה? אחרי שעשיתם זום?</w:t>
      </w:r>
      <w:r w:rsidR="000B290A">
        <w:rPr>
          <w:rFonts w:cs="David" w:hint="cs"/>
          <w:sz w:val="24"/>
          <w:szCs w:val="24"/>
          <w:rtl/>
        </w:rPr>
        <w:t xml:space="preserve"> </w:t>
      </w:r>
      <w:r>
        <w:rPr>
          <w:rFonts w:cs="David" w:hint="cs"/>
          <w:sz w:val="24"/>
          <w:szCs w:val="24"/>
          <w:rtl/>
        </w:rPr>
        <w:t>כמה נותרו בקטע של צריך עיון?"</w:t>
      </w:r>
      <w:r w:rsidR="000B290A">
        <w:rPr>
          <w:rFonts w:cs="David" w:hint="cs"/>
          <w:sz w:val="24"/>
          <w:szCs w:val="24"/>
          <w:rtl/>
        </w:rPr>
        <w:t xml:space="preserve"> </w:t>
      </w:r>
      <w:r>
        <w:rPr>
          <w:rFonts w:cs="David" w:hint="cs"/>
          <w:sz w:val="24"/>
          <w:szCs w:val="24"/>
          <w:rtl/>
        </w:rPr>
        <w:t xml:space="preserve">נצ"מ </w:t>
      </w:r>
      <w:r w:rsidRPr="000B290A">
        <w:rPr>
          <w:rFonts w:cs="David" w:hint="cs"/>
          <w:b/>
          <w:bCs/>
          <w:sz w:val="24"/>
          <w:szCs w:val="24"/>
          <w:rtl/>
        </w:rPr>
        <w:t>אלעזר כהנא</w:t>
      </w:r>
      <w:r>
        <w:rPr>
          <w:rFonts w:cs="David" w:hint="cs"/>
          <w:sz w:val="24"/>
          <w:szCs w:val="24"/>
          <w:rtl/>
        </w:rPr>
        <w:t>, משנה ליועץ המשפטי למשטרה: "לא יודע מספרים, אבל אצל חלק מהם זה מסתכם בהערת המפקד".</w:t>
      </w:r>
    </w:p>
    <w:p w:rsidR="00494F8B" w:rsidRDefault="00494F8B" w:rsidP="00EC7D21">
      <w:pPr>
        <w:spacing w:line="360" w:lineRule="auto"/>
        <w:jc w:val="both"/>
        <w:rPr>
          <w:rFonts w:cs="David"/>
          <w:sz w:val="24"/>
          <w:szCs w:val="24"/>
          <w:rtl/>
        </w:rPr>
      </w:pPr>
      <w:r>
        <w:rPr>
          <w:rFonts w:cs="David" w:hint="cs"/>
          <w:sz w:val="24"/>
          <w:szCs w:val="24"/>
          <w:rtl/>
        </w:rPr>
        <w:t xml:space="preserve">ח"כ </w:t>
      </w:r>
      <w:r w:rsidRPr="000B290A">
        <w:rPr>
          <w:rFonts w:cs="David" w:hint="cs"/>
          <w:b/>
          <w:bCs/>
          <w:sz w:val="24"/>
          <w:szCs w:val="24"/>
          <w:rtl/>
        </w:rPr>
        <w:t>מיקי לוי</w:t>
      </w:r>
      <w:r>
        <w:rPr>
          <w:rFonts w:cs="David" w:hint="cs"/>
          <w:sz w:val="24"/>
          <w:szCs w:val="24"/>
          <w:rtl/>
        </w:rPr>
        <w:t>: "אין מומחה גדול מהמפכ"ל בנושא חקירות ופוליגרף. כמי שמכיר קצת את הנושא אני אומר שהחקירות הן החלק הפחות בעייתי בכל הסיפור. קצין סיור עוצר מישהו בהינף יד. אז נעביר את כל קציני הסיור פוליגרף?</w:t>
      </w:r>
      <w:r w:rsidR="00EC7D21">
        <w:rPr>
          <w:rFonts w:cs="David" w:hint="cs"/>
          <w:sz w:val="24"/>
          <w:szCs w:val="24"/>
          <w:rtl/>
        </w:rPr>
        <w:t xml:space="preserve"> אני חלילה לא מטיל דופי אבל יותר קריטי תובעים בפרקליטות. שם ההדלפות הן בנפשנו, הרבה יותר קריטי, ואני משוכנע שאין הדלפות משם. ורכזי מודיעין וקציני מודיעין ברשות המיסים הרה יותר קריטי".</w:t>
      </w:r>
    </w:p>
    <w:p w:rsidR="00EC7D21" w:rsidRDefault="00EC7D21" w:rsidP="00EC7D21">
      <w:pPr>
        <w:spacing w:line="360" w:lineRule="auto"/>
        <w:jc w:val="both"/>
        <w:rPr>
          <w:rFonts w:cs="David"/>
          <w:sz w:val="24"/>
          <w:szCs w:val="24"/>
          <w:rtl/>
        </w:rPr>
      </w:pPr>
      <w:r>
        <w:rPr>
          <w:rFonts w:cs="David" w:hint="cs"/>
          <w:sz w:val="24"/>
          <w:szCs w:val="24"/>
          <w:rtl/>
        </w:rPr>
        <w:t xml:space="preserve">יו"ר הוועדה ח"כ </w:t>
      </w:r>
      <w:r w:rsidRPr="000B290A">
        <w:rPr>
          <w:rFonts w:cs="David" w:hint="cs"/>
          <w:b/>
          <w:bCs/>
          <w:sz w:val="24"/>
          <w:szCs w:val="24"/>
          <w:rtl/>
        </w:rPr>
        <w:t xml:space="preserve">אמסלם </w:t>
      </w:r>
      <w:r>
        <w:rPr>
          <w:rFonts w:cs="David" w:hint="cs"/>
          <w:sz w:val="24"/>
          <w:szCs w:val="24"/>
          <w:rtl/>
        </w:rPr>
        <w:t>הודיע כי הוועדה תכנס דיון נוסף בנושא, לאחר שתקיים פגישות התייעצות עם נציגי המשטרה.</w:t>
      </w:r>
    </w:p>
    <w:p w:rsidR="000B290A" w:rsidRDefault="000B290A" w:rsidP="00FA1A73">
      <w:pPr>
        <w:spacing w:line="360" w:lineRule="auto"/>
        <w:jc w:val="both"/>
        <w:rPr>
          <w:rFonts w:cs="David"/>
          <w:sz w:val="24"/>
          <w:szCs w:val="24"/>
          <w:rtl/>
        </w:rPr>
      </w:pPr>
    </w:p>
    <w:p w:rsidR="00FA1A73" w:rsidRPr="00651658" w:rsidRDefault="00FA1A73" w:rsidP="000B290A">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FA1A73" w:rsidRPr="00651658" w:rsidRDefault="00FA1A73" w:rsidP="000B290A">
      <w:pPr>
        <w:spacing w:line="240" w:lineRule="auto"/>
        <w:jc w:val="both"/>
        <w:rPr>
          <w:rFonts w:cs="David"/>
          <w:sz w:val="24"/>
          <w:szCs w:val="24"/>
          <w:rtl/>
        </w:rPr>
      </w:pPr>
      <w:r w:rsidRPr="00651658">
        <w:rPr>
          <w:rFonts w:cs="David" w:hint="cs"/>
          <w:sz w:val="24"/>
          <w:szCs w:val="24"/>
          <w:rtl/>
        </w:rPr>
        <w:t>רבקה קנריק</w:t>
      </w:r>
    </w:p>
    <w:p w:rsidR="00FA1A73" w:rsidRPr="00651658" w:rsidRDefault="00FA1A73" w:rsidP="000B290A">
      <w:pPr>
        <w:spacing w:line="240" w:lineRule="auto"/>
        <w:jc w:val="both"/>
        <w:rPr>
          <w:rFonts w:cs="David"/>
          <w:sz w:val="24"/>
          <w:szCs w:val="24"/>
          <w:rtl/>
        </w:rPr>
      </w:pPr>
      <w:r w:rsidRPr="00651658">
        <w:rPr>
          <w:rFonts w:cs="David" w:hint="cs"/>
          <w:sz w:val="24"/>
          <w:szCs w:val="24"/>
          <w:rtl/>
        </w:rPr>
        <w:t>דוברת ועדת הפנים והגנת הסביבה</w:t>
      </w:r>
    </w:p>
    <w:p w:rsidR="00FA1A73" w:rsidRPr="00651658" w:rsidRDefault="00FA1A73" w:rsidP="000B290A">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FA1A73" w:rsidRDefault="00FA1A73" w:rsidP="000B290A">
      <w:pPr>
        <w:spacing w:line="240" w:lineRule="auto"/>
        <w:rPr>
          <w:rFonts w:hint="cs"/>
        </w:rPr>
      </w:pPr>
      <w:r>
        <w:rPr>
          <w:rFonts w:cs="David" w:hint="cs"/>
          <w:sz w:val="24"/>
          <w:szCs w:val="24"/>
          <w:rtl/>
        </w:rPr>
        <w:t>050-6230458</w:t>
      </w:r>
    </w:p>
    <w:bookmarkEnd w:id="0"/>
    <w:p w:rsidR="00BF039F" w:rsidRPr="00FA1A73" w:rsidRDefault="0049008C">
      <w:pPr>
        <w:rPr>
          <w:rFonts w:hint="cs"/>
        </w:rPr>
      </w:pPr>
    </w:p>
    <w:sectPr w:rsidR="00BF039F" w:rsidRPr="00FA1A73"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A73"/>
    <w:rsid w:val="000B290A"/>
    <w:rsid w:val="003204EA"/>
    <w:rsid w:val="0049008C"/>
    <w:rsid w:val="00494F8B"/>
    <w:rsid w:val="0064481B"/>
    <w:rsid w:val="00985AA0"/>
    <w:rsid w:val="00B16E10"/>
    <w:rsid w:val="00DC7F81"/>
    <w:rsid w:val="00EC7D21"/>
    <w:rsid w:val="00ED1180"/>
    <w:rsid w:val="00FA1A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F9289C-1BAC-4FC8-88F8-A00929F60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A7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857048-DC5D-4D88-BA2C-2355B06CBF79}"/>
</file>

<file path=customXml/itemProps2.xml><?xml version="1.0" encoding="utf-8"?>
<ds:datastoreItem xmlns:ds="http://schemas.openxmlformats.org/officeDocument/2006/customXml" ds:itemID="{6AB65875-3E76-4BA2-9CDF-86FB2B526E1F}"/>
</file>

<file path=customXml/itemProps3.xml><?xml version="1.0" encoding="utf-8"?>
<ds:datastoreItem xmlns:ds="http://schemas.openxmlformats.org/officeDocument/2006/customXml" ds:itemID="{ADBA0AC5-1A4A-4114-9B66-6627335FC009}"/>
</file>

<file path=docProps/app.xml><?xml version="1.0" encoding="utf-8"?>
<Properties xmlns="http://schemas.openxmlformats.org/officeDocument/2006/extended-properties" xmlns:vt="http://schemas.openxmlformats.org/officeDocument/2006/docPropsVTypes">
  <Template>Normal</Template>
  <TotalTime>53</TotalTime>
  <Pages>2</Pages>
  <Words>537</Words>
  <Characters>2685</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2017-05-15T12:59:00Z</dcterms:created>
  <dcterms:modified xsi:type="dcterms:W3CDTF">2017-05-15T15:25:00Z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2016308</vt:r8>
  </property>
</Properties>
</file>