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DAD" w:rsidRDefault="00164DAD" w:rsidP="00164DAD">
      <w:pPr>
        <w:bidi w:val="0"/>
        <w:jc w:val="center"/>
        <w:rPr>
          <w:color w:val="000080"/>
        </w:rPr>
      </w:pPr>
      <w:r>
        <w:rPr>
          <w:noProof/>
          <w:color w:val="000080"/>
        </w:rPr>
        <w:drawing>
          <wp:inline distT="0" distB="0" distL="0" distR="0" wp14:anchorId="25DB2032" wp14:editId="626EDCBA">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164DAD" w:rsidRDefault="00164DAD" w:rsidP="00164DAD">
      <w:pPr>
        <w:bidi w:val="0"/>
        <w:spacing w:after="120"/>
        <w:jc w:val="center"/>
        <w:rPr>
          <w:rFonts w:cs="David"/>
          <w:b/>
          <w:bCs/>
          <w:color w:val="000080"/>
          <w:sz w:val="26"/>
          <w:szCs w:val="26"/>
        </w:rPr>
      </w:pPr>
      <w:r>
        <w:rPr>
          <w:rFonts w:cs="David" w:hint="cs"/>
          <w:b/>
          <w:bCs/>
          <w:color w:val="000080"/>
          <w:sz w:val="26"/>
          <w:szCs w:val="26"/>
          <w:rtl/>
        </w:rPr>
        <w:t>הכנסת</w:t>
      </w:r>
    </w:p>
    <w:p w:rsidR="00164DAD" w:rsidRDefault="00164DAD" w:rsidP="00164DAD">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164DAD" w:rsidRDefault="00164DAD" w:rsidP="00164DAD">
      <w:pPr>
        <w:bidi w:val="0"/>
        <w:spacing w:line="280" w:lineRule="atLeast"/>
      </w:pPr>
    </w:p>
    <w:p w:rsidR="00164DAD" w:rsidRDefault="00164DAD" w:rsidP="00164DAD">
      <w:pPr>
        <w:bidi w:val="0"/>
        <w:spacing w:line="280" w:lineRule="atLeast"/>
      </w:pPr>
      <w:r>
        <w:rPr>
          <w:rtl/>
        </w:rPr>
        <w:t>ירושלים</w:t>
      </w:r>
      <w:r>
        <w:rPr>
          <w:rFonts w:hint="cs"/>
          <w:rtl/>
        </w:rPr>
        <w:t xml:space="preserve"> , כ' אייר תשע"ז</w:t>
      </w:r>
    </w:p>
    <w:p w:rsidR="00164DAD" w:rsidRDefault="00164DAD" w:rsidP="00164DAD">
      <w:pPr>
        <w:jc w:val="right"/>
        <w:rPr>
          <w:b/>
          <w:bCs/>
          <w:sz w:val="40"/>
          <w:szCs w:val="40"/>
          <w:u w:val="single"/>
          <w:rtl/>
        </w:rPr>
      </w:pPr>
      <w:r>
        <w:rPr>
          <w:rFonts w:hint="cs"/>
          <w:rtl/>
        </w:rPr>
        <w:t>16.5.2017</w:t>
      </w:r>
    </w:p>
    <w:p w:rsidR="00164DAD" w:rsidRDefault="00164DAD" w:rsidP="00164DAD">
      <w:pPr>
        <w:jc w:val="center"/>
        <w:rPr>
          <w:b/>
          <w:bCs/>
          <w:sz w:val="40"/>
          <w:szCs w:val="40"/>
          <w:u w:val="single"/>
          <w:rtl/>
        </w:rPr>
      </w:pPr>
      <w:r w:rsidRPr="0079505C">
        <w:rPr>
          <w:rFonts w:hint="cs"/>
          <w:b/>
          <w:bCs/>
          <w:sz w:val="40"/>
          <w:szCs w:val="40"/>
          <w:u w:val="single"/>
          <w:rtl/>
        </w:rPr>
        <w:t>הודעה לעיתונות</w:t>
      </w:r>
    </w:p>
    <w:p w:rsidR="00164DAD" w:rsidRPr="00F265B9" w:rsidRDefault="00F265B9" w:rsidP="00F265B9">
      <w:pPr>
        <w:spacing w:line="240" w:lineRule="auto"/>
        <w:jc w:val="center"/>
        <w:rPr>
          <w:rFonts w:cs="David" w:hint="cs"/>
          <w:b/>
          <w:bCs/>
          <w:sz w:val="40"/>
          <w:szCs w:val="40"/>
          <w:rtl/>
        </w:rPr>
      </w:pPr>
      <w:r w:rsidRPr="00F265B9">
        <w:rPr>
          <w:rFonts w:cs="David" w:hint="cs"/>
          <w:b/>
          <w:bCs/>
          <w:sz w:val="40"/>
          <w:szCs w:val="40"/>
          <w:rtl/>
        </w:rPr>
        <w:t>ועדת הפנים דנה בבקשת ראשי רשויות שפרשו בעבר ולא קיבלו פנסיה</w:t>
      </w:r>
    </w:p>
    <w:p w:rsidR="00F265B9" w:rsidRDefault="00F265B9" w:rsidP="00F265B9">
      <w:pPr>
        <w:spacing w:line="240" w:lineRule="auto"/>
        <w:jc w:val="center"/>
        <w:rPr>
          <w:rFonts w:cs="David"/>
          <w:sz w:val="24"/>
          <w:szCs w:val="24"/>
          <w:rtl/>
        </w:rPr>
      </w:pPr>
      <w:r w:rsidRPr="00F265B9">
        <w:rPr>
          <w:rFonts w:cs="David" w:hint="cs"/>
          <w:sz w:val="32"/>
          <w:szCs w:val="32"/>
          <w:u w:val="single"/>
          <w:rtl/>
        </w:rPr>
        <w:t>משרד המשפטים:</w:t>
      </w:r>
      <w:r>
        <w:rPr>
          <w:rFonts w:cs="David" w:hint="cs"/>
          <w:sz w:val="24"/>
          <w:szCs w:val="24"/>
          <w:rtl/>
        </w:rPr>
        <w:t xml:space="preserve"> </w:t>
      </w:r>
    </w:p>
    <w:p w:rsidR="00F265B9" w:rsidRPr="00F265B9" w:rsidRDefault="00F265B9" w:rsidP="00F265B9">
      <w:pPr>
        <w:spacing w:line="240" w:lineRule="auto"/>
        <w:jc w:val="center"/>
        <w:rPr>
          <w:rFonts w:cs="David"/>
          <w:b/>
          <w:bCs/>
          <w:sz w:val="52"/>
          <w:szCs w:val="52"/>
          <w:rtl/>
        </w:rPr>
      </w:pPr>
      <w:r w:rsidRPr="00F265B9">
        <w:rPr>
          <w:rFonts w:cs="David" w:hint="cs"/>
          <w:b/>
          <w:bCs/>
          <w:sz w:val="52"/>
          <w:szCs w:val="52"/>
          <w:rtl/>
        </w:rPr>
        <w:t>"אפשר למלא אולמות עם עובדי מדינה שלא זכו לפנסיה משום שפרשו לפני גיל 40</w:t>
      </w:r>
      <w:r w:rsidRPr="00F265B9">
        <w:rPr>
          <w:rFonts w:cs="David" w:hint="cs"/>
          <w:b/>
          <w:bCs/>
          <w:sz w:val="52"/>
          <w:szCs w:val="52"/>
          <w:rtl/>
        </w:rPr>
        <w:t>"</w:t>
      </w:r>
    </w:p>
    <w:p w:rsidR="00F265B9" w:rsidRDefault="00F265B9" w:rsidP="00F265B9">
      <w:pPr>
        <w:spacing w:line="240" w:lineRule="auto"/>
        <w:jc w:val="center"/>
        <w:rPr>
          <w:rFonts w:cs="David"/>
          <w:sz w:val="32"/>
          <w:szCs w:val="32"/>
          <w:u w:val="single"/>
          <w:rtl/>
        </w:rPr>
      </w:pPr>
      <w:r w:rsidRPr="00F265B9">
        <w:rPr>
          <w:rFonts w:cs="David" w:hint="cs"/>
          <w:sz w:val="32"/>
          <w:szCs w:val="32"/>
          <w:u w:val="single"/>
          <w:rtl/>
        </w:rPr>
        <w:t>ח"כ יעל גרמן:</w:t>
      </w:r>
    </w:p>
    <w:p w:rsidR="00F265B9" w:rsidRPr="00F265B9" w:rsidRDefault="00F265B9" w:rsidP="00F265B9">
      <w:pPr>
        <w:spacing w:line="240" w:lineRule="auto"/>
        <w:jc w:val="center"/>
        <w:rPr>
          <w:rFonts w:cs="David"/>
          <w:b/>
          <w:bCs/>
          <w:sz w:val="52"/>
          <w:szCs w:val="52"/>
          <w:rtl/>
        </w:rPr>
      </w:pPr>
      <w:r w:rsidRPr="00F265B9">
        <w:rPr>
          <w:rFonts w:cs="David" w:hint="cs"/>
          <w:b/>
          <w:bCs/>
          <w:sz w:val="52"/>
          <w:szCs w:val="52"/>
          <w:rtl/>
        </w:rPr>
        <w:t>כל מי שקיבלו כסף שלא כדין, שיחזירו. מי שהתחיל אז את כהונתו ידע שאם יפרוש בגיל צעיר לא יקבל פנסיה</w:t>
      </w:r>
    </w:p>
    <w:p w:rsidR="00F265B9" w:rsidRDefault="00F265B9" w:rsidP="00164DAD">
      <w:pPr>
        <w:spacing w:line="360" w:lineRule="auto"/>
        <w:jc w:val="both"/>
        <w:rPr>
          <w:rFonts w:cs="David"/>
          <w:sz w:val="24"/>
          <w:szCs w:val="24"/>
          <w:rtl/>
        </w:rPr>
      </w:pPr>
    </w:p>
    <w:p w:rsidR="00164DAD" w:rsidRDefault="00164DAD" w:rsidP="00164DAD">
      <w:pPr>
        <w:spacing w:line="360" w:lineRule="auto"/>
        <w:jc w:val="both"/>
        <w:rPr>
          <w:rFonts w:cs="David"/>
          <w:sz w:val="24"/>
          <w:szCs w:val="24"/>
          <w:rtl/>
        </w:rPr>
      </w:pPr>
      <w:r>
        <w:rPr>
          <w:rFonts w:cs="David" w:hint="cs"/>
          <w:sz w:val="24"/>
          <w:szCs w:val="24"/>
          <w:rtl/>
        </w:rPr>
        <w:t>"אפשר למלא אולמות עם עובדי מדינה שלא זכו לפנסיה משום שפרשו לפני גיל 40", אמר</w:t>
      </w:r>
      <w:r w:rsidRPr="00164DAD">
        <w:rPr>
          <w:rFonts w:cs="David" w:hint="cs"/>
          <w:sz w:val="24"/>
          <w:szCs w:val="24"/>
          <w:rtl/>
        </w:rPr>
        <w:t xml:space="preserve"> </w:t>
      </w:r>
      <w:r w:rsidRPr="00F265B9">
        <w:rPr>
          <w:rFonts w:cs="David" w:hint="cs"/>
          <w:b/>
          <w:bCs/>
          <w:sz w:val="24"/>
          <w:szCs w:val="24"/>
          <w:rtl/>
        </w:rPr>
        <w:t>שי סומך</w:t>
      </w:r>
      <w:r>
        <w:rPr>
          <w:rFonts w:cs="David" w:hint="cs"/>
          <w:sz w:val="24"/>
          <w:szCs w:val="24"/>
          <w:rtl/>
        </w:rPr>
        <w:t xml:space="preserve"> </w:t>
      </w:r>
      <w:r>
        <w:rPr>
          <w:rFonts w:cs="David" w:hint="cs"/>
          <w:sz w:val="24"/>
          <w:szCs w:val="24"/>
          <w:rtl/>
        </w:rPr>
        <w:t xml:space="preserve">ממשרד המשפטים, בדיון ועדת הפנים היום על </w:t>
      </w:r>
      <w:r w:rsidR="00F265B9">
        <w:rPr>
          <w:rFonts w:cs="David" w:hint="cs"/>
          <w:sz w:val="24"/>
          <w:szCs w:val="24"/>
          <w:rtl/>
        </w:rPr>
        <w:t>גמלאות</w:t>
      </w:r>
      <w:r>
        <w:rPr>
          <w:rFonts w:cs="David" w:hint="cs"/>
          <w:sz w:val="24"/>
          <w:szCs w:val="24"/>
          <w:rtl/>
        </w:rPr>
        <w:t xml:space="preserve"> לראשי רשויות</w:t>
      </w:r>
      <w:r w:rsidR="00F265B9">
        <w:rPr>
          <w:rFonts w:cs="David" w:hint="cs"/>
          <w:sz w:val="24"/>
          <w:szCs w:val="24"/>
          <w:rtl/>
        </w:rPr>
        <w:t xml:space="preserve"> מקומיות</w:t>
      </w:r>
      <w:r>
        <w:rPr>
          <w:rFonts w:cs="David" w:hint="cs"/>
          <w:sz w:val="24"/>
          <w:szCs w:val="24"/>
          <w:rtl/>
        </w:rPr>
        <w:t>. בעקבות החלטת הוועדה מחודש ינואר השנה, לפיה הוחלט להכשיר בדיעבד תשלומי פנסיה שניתנו בטעות ל-5 אנשים שפרשו מכהונתם כראשי רשויות לפני שנת 98' ולפני גיל 40, ולכן לא היו זכאים לפנסיה, אך קיבלוה בשל טעות של משרד הפנים, ביקשו 3 ראשי רשויות לשעבר נוספים לקבל פנסיה עבור השנים בהן כיהנו כראשי רשויות. נציג משרד המשפטים: "התיקון הזה יוצר אפליה כלפי עובדי מדינה, שאף אחד מהם אינו זכאי לפנסיה לפני גיל 40".</w:t>
      </w:r>
    </w:p>
    <w:p w:rsidR="000039AE" w:rsidRDefault="000039AE" w:rsidP="00164DAD">
      <w:pPr>
        <w:spacing w:line="360" w:lineRule="auto"/>
        <w:jc w:val="both"/>
        <w:rPr>
          <w:rFonts w:cs="David" w:hint="cs"/>
          <w:sz w:val="24"/>
          <w:szCs w:val="24"/>
          <w:rtl/>
        </w:rPr>
      </w:pPr>
      <w:r>
        <w:rPr>
          <w:rFonts w:cs="David" w:hint="cs"/>
          <w:sz w:val="24"/>
          <w:szCs w:val="24"/>
          <w:rtl/>
        </w:rPr>
        <w:t xml:space="preserve">עו"ד </w:t>
      </w:r>
      <w:r w:rsidRPr="00F265B9">
        <w:rPr>
          <w:rFonts w:cs="David" w:hint="cs"/>
          <w:b/>
          <w:bCs/>
          <w:sz w:val="24"/>
          <w:szCs w:val="24"/>
          <w:rtl/>
        </w:rPr>
        <w:t>יאיר חזן</w:t>
      </w:r>
      <w:r>
        <w:rPr>
          <w:rFonts w:cs="David" w:hint="cs"/>
          <w:sz w:val="24"/>
          <w:szCs w:val="24"/>
          <w:rtl/>
        </w:rPr>
        <w:t>: "בינואר ועדת הפנים אישרה להכשיר תשלומים לא חוקיים. מי שהוביל את זה היה צביקה כהן מש"ס שפרש מעירית ירושלים בגיל 35.</w:t>
      </w:r>
      <w:r>
        <w:rPr>
          <w:rFonts w:cs="David" w:hint="cs"/>
          <w:sz w:val="24"/>
          <w:szCs w:val="24"/>
        </w:rPr>
        <w:t xml:space="preserve"> </w:t>
      </w:r>
      <w:r>
        <w:rPr>
          <w:rFonts w:cs="David" w:hint="cs"/>
          <w:sz w:val="24"/>
          <w:szCs w:val="24"/>
          <w:rtl/>
        </w:rPr>
        <w:t xml:space="preserve"> לא מגיע לו ולא לי. אם הוא לא מקבל, גם אני לא. אבל עש</w:t>
      </w:r>
      <w:r w:rsidR="00F265B9">
        <w:rPr>
          <w:rFonts w:cs="David" w:hint="cs"/>
          <w:sz w:val="24"/>
          <w:szCs w:val="24"/>
          <w:rtl/>
        </w:rPr>
        <w:t>ו טעות ושילמו לכמה אנשים 15 שנה.</w:t>
      </w:r>
      <w:r>
        <w:rPr>
          <w:rFonts w:cs="David" w:hint="cs"/>
          <w:sz w:val="24"/>
          <w:szCs w:val="24"/>
          <w:rtl/>
        </w:rPr>
        <w:t xml:space="preserve"> אני הייתי תמים. גילית עוד שניים שפרשו  ולא מקבלים פנסיה תקציבית. זה עניין אנושי</w:t>
      </w:r>
      <w:r w:rsidR="00F265B9">
        <w:rPr>
          <w:rFonts w:cs="David" w:hint="cs"/>
          <w:sz w:val="24"/>
          <w:szCs w:val="24"/>
          <w:rtl/>
        </w:rPr>
        <w:t xml:space="preserve">. </w:t>
      </w:r>
      <w:r>
        <w:rPr>
          <w:rFonts w:cs="David" w:hint="cs"/>
          <w:sz w:val="24"/>
          <w:szCs w:val="24"/>
          <w:rtl/>
        </w:rPr>
        <w:t>היינו 10 שנים ראשי עיר. אי אפשר לקבל חקיקה פרסונלית".</w:t>
      </w:r>
    </w:p>
    <w:p w:rsidR="000039AE" w:rsidRDefault="000039AE" w:rsidP="00164DAD">
      <w:pPr>
        <w:spacing w:line="360" w:lineRule="auto"/>
        <w:jc w:val="both"/>
        <w:rPr>
          <w:rFonts w:cs="David"/>
          <w:sz w:val="24"/>
          <w:szCs w:val="24"/>
          <w:rtl/>
        </w:rPr>
      </w:pPr>
      <w:r>
        <w:rPr>
          <w:rFonts w:cs="David" w:hint="cs"/>
          <w:sz w:val="24"/>
          <w:szCs w:val="24"/>
          <w:rtl/>
        </w:rPr>
        <w:t xml:space="preserve">ח"כ </w:t>
      </w:r>
      <w:r w:rsidRPr="00F265B9">
        <w:rPr>
          <w:rFonts w:cs="David" w:hint="cs"/>
          <w:b/>
          <w:bCs/>
          <w:sz w:val="24"/>
          <w:szCs w:val="24"/>
          <w:rtl/>
        </w:rPr>
        <w:t xml:space="preserve">יוליה </w:t>
      </w:r>
      <w:proofErr w:type="spellStart"/>
      <w:r w:rsidRPr="00F265B9">
        <w:rPr>
          <w:rFonts w:cs="David" w:hint="cs"/>
          <w:b/>
          <w:bCs/>
          <w:sz w:val="24"/>
          <w:szCs w:val="24"/>
          <w:rtl/>
        </w:rPr>
        <w:t>מלינובסקי</w:t>
      </w:r>
      <w:proofErr w:type="spellEnd"/>
      <w:r>
        <w:rPr>
          <w:rFonts w:cs="David" w:hint="cs"/>
          <w:sz w:val="24"/>
          <w:szCs w:val="24"/>
          <w:rtl/>
        </w:rPr>
        <w:t>: "אבל פרשת בגיל 32. אחרי זה לא עבדת? אתה יודע כמה אנשים במדינה בלי פנסיה?</w:t>
      </w:r>
      <w:r w:rsidR="00F265B9">
        <w:rPr>
          <w:rFonts w:cs="David" w:hint="cs"/>
          <w:sz w:val="24"/>
          <w:szCs w:val="24"/>
          <w:rtl/>
        </w:rPr>
        <w:t xml:space="preserve"> </w:t>
      </w:r>
      <w:r>
        <w:rPr>
          <w:rFonts w:cs="David" w:hint="cs"/>
          <w:sz w:val="24"/>
          <w:szCs w:val="24"/>
          <w:rtl/>
        </w:rPr>
        <w:t xml:space="preserve">אני מזועזעת . פרשתם בשנות השלושים, היו לכם המון שנים </w:t>
      </w:r>
      <w:r w:rsidR="00F265B9">
        <w:rPr>
          <w:rFonts w:cs="David" w:hint="cs"/>
          <w:sz w:val="24"/>
          <w:szCs w:val="24"/>
          <w:rtl/>
        </w:rPr>
        <w:t>ל</w:t>
      </w:r>
      <w:r>
        <w:rPr>
          <w:rFonts w:cs="David" w:hint="cs"/>
          <w:sz w:val="24"/>
          <w:szCs w:val="24"/>
          <w:rtl/>
        </w:rPr>
        <w:t xml:space="preserve">עבוד במקומות אחרים. יש המון אנשים שעבדו במקומות שהמעסיקים לא הפרישו </w:t>
      </w:r>
      <w:r w:rsidR="00F265B9">
        <w:rPr>
          <w:rFonts w:cs="David" w:hint="cs"/>
          <w:sz w:val="24"/>
          <w:szCs w:val="24"/>
          <w:rtl/>
        </w:rPr>
        <w:t>לפנסיה</w:t>
      </w:r>
      <w:r>
        <w:rPr>
          <w:rFonts w:cs="David" w:hint="cs"/>
          <w:sz w:val="24"/>
          <w:szCs w:val="24"/>
          <w:rtl/>
        </w:rPr>
        <w:t xml:space="preserve"> </w:t>
      </w:r>
      <w:r w:rsidR="00F265B9">
        <w:rPr>
          <w:rFonts w:cs="David" w:hint="cs"/>
          <w:sz w:val="24"/>
          <w:szCs w:val="24"/>
          <w:rtl/>
        </w:rPr>
        <w:t>וחיים</w:t>
      </w:r>
      <w:r>
        <w:rPr>
          <w:rFonts w:cs="David" w:hint="cs"/>
          <w:sz w:val="24"/>
          <w:szCs w:val="24"/>
          <w:rtl/>
        </w:rPr>
        <w:t xml:space="preserve"> מהבטחת הכנסה. כאן לא מדובר על קשי יום. הם לא נזקקים. גם ההחלטה שעברה פה לפני כמה חודשים הייתה שערורייה".</w:t>
      </w:r>
    </w:p>
    <w:p w:rsidR="000039AE" w:rsidRDefault="000039AE" w:rsidP="00164DAD">
      <w:pPr>
        <w:spacing w:line="360" w:lineRule="auto"/>
        <w:jc w:val="both"/>
        <w:rPr>
          <w:rFonts w:cs="David" w:hint="cs"/>
          <w:sz w:val="24"/>
          <w:szCs w:val="24"/>
          <w:rtl/>
        </w:rPr>
      </w:pPr>
      <w:r>
        <w:rPr>
          <w:rFonts w:cs="David" w:hint="cs"/>
          <w:sz w:val="24"/>
          <w:szCs w:val="24"/>
          <w:rtl/>
        </w:rPr>
        <w:t xml:space="preserve">ח"כ </w:t>
      </w:r>
      <w:r w:rsidRPr="00F265B9">
        <w:rPr>
          <w:rFonts w:cs="David" w:hint="cs"/>
          <w:b/>
          <w:bCs/>
          <w:sz w:val="24"/>
          <w:szCs w:val="24"/>
          <w:rtl/>
        </w:rPr>
        <w:t>יעל גרמן</w:t>
      </w:r>
      <w:r>
        <w:rPr>
          <w:rFonts w:cs="David" w:hint="cs"/>
          <w:sz w:val="24"/>
          <w:szCs w:val="24"/>
          <w:rtl/>
        </w:rPr>
        <w:t>: "אם הכנסת תזלזל בחוק, אנה אנו באים?</w:t>
      </w:r>
      <w:r w:rsidR="00F265B9">
        <w:rPr>
          <w:rFonts w:cs="David" w:hint="cs"/>
          <w:sz w:val="24"/>
          <w:szCs w:val="24"/>
          <w:rtl/>
        </w:rPr>
        <w:t xml:space="preserve"> </w:t>
      </w:r>
      <w:r>
        <w:rPr>
          <w:rFonts w:cs="David" w:hint="cs"/>
          <w:sz w:val="24"/>
          <w:szCs w:val="24"/>
          <w:rtl/>
        </w:rPr>
        <w:t>העוול נעשה לפני מספר חודשים</w:t>
      </w:r>
      <w:r w:rsidR="00F265B9">
        <w:rPr>
          <w:rFonts w:cs="David" w:hint="cs"/>
          <w:sz w:val="24"/>
          <w:szCs w:val="24"/>
          <w:rtl/>
        </w:rPr>
        <w:t>, כשאישרו בניגוד לחוק ובניגוד לדעת היועץ המשפטי של הוועדה ושל הממשלה. אני היחידה שהתנגדתי. זה בזבוז כספי ציבור, חקיקה פרסונלית, רטרואקטיבית.</w:t>
      </w:r>
      <w:r w:rsidR="00E441C7">
        <w:rPr>
          <w:rFonts w:cs="David" w:hint="cs"/>
          <w:sz w:val="24"/>
          <w:szCs w:val="24"/>
          <w:rtl/>
        </w:rPr>
        <w:t xml:space="preserve"> </w:t>
      </w:r>
      <w:r w:rsidR="00F265B9">
        <w:rPr>
          <w:rFonts w:cs="David" w:hint="cs"/>
          <w:sz w:val="24"/>
          <w:szCs w:val="24"/>
          <w:rtl/>
        </w:rPr>
        <w:t>החלטה שמקורה בחטא. כל מי שקיבלו כסף שלא כדין, שיחזירו. מי שהתחיל אז את כהונתו ידע שאם יפרוש בגיל צעיר לא יקבל פנסיה אלא מענק של 18%, שזה למעלה מ-900% משכורת. הם כולם פרשו לפני השינוי בחוק. אם אנחנו נאשר את הבקשות החדשות ואם לא נבטל את ההחלטה הקודמת, זה שוד הקופה הציבורית, וכל מי שכיהן לפני 98 ומ-99 יגיד גם אני רוצה פנסיה".</w:t>
      </w:r>
    </w:p>
    <w:p w:rsidR="00164DAD" w:rsidRDefault="00164DAD" w:rsidP="00164DAD">
      <w:pPr>
        <w:spacing w:line="360" w:lineRule="auto"/>
        <w:jc w:val="both"/>
        <w:rPr>
          <w:rFonts w:cs="David" w:hint="cs"/>
          <w:sz w:val="24"/>
          <w:szCs w:val="24"/>
          <w:rtl/>
        </w:rPr>
      </w:pPr>
      <w:r w:rsidRPr="00E441C7">
        <w:rPr>
          <w:rFonts w:cs="David" w:hint="cs"/>
          <w:b/>
          <w:bCs/>
          <w:sz w:val="24"/>
          <w:szCs w:val="24"/>
          <w:rtl/>
        </w:rPr>
        <w:t xml:space="preserve">תומר </w:t>
      </w:r>
      <w:proofErr w:type="spellStart"/>
      <w:r w:rsidRPr="00E441C7">
        <w:rPr>
          <w:rFonts w:cs="David" w:hint="cs"/>
          <w:b/>
          <w:bCs/>
          <w:sz w:val="24"/>
          <w:szCs w:val="24"/>
          <w:rtl/>
        </w:rPr>
        <w:t>רוזנר</w:t>
      </w:r>
      <w:proofErr w:type="spellEnd"/>
      <w:r>
        <w:rPr>
          <w:rFonts w:cs="David" w:hint="cs"/>
          <w:sz w:val="24"/>
          <w:szCs w:val="24"/>
          <w:rtl/>
        </w:rPr>
        <w:t xml:space="preserve">, היועץ המשפטי של הוועדה: "ההנחה בבסיס הדיון היא שיש שוויון בין נשואי ההחלטה הקודמת מחודש ינואר, לאלה שביקשו עכשיו. ההנחה הזו שגויה. גם בינואר התנגדנו להצעה, משום שהיה מדובר בהחלה רטרואקטיבית ופרסונלית. עם זאת, יש הבדל גדול. באמצע שנות ה-90 החל מהלך להעברת כל הפנסיה התקציבית לצוברת. המהלך הסתיים ברשויות המקומיות ב-99, ובצבא ב-2007. המהלך הזה ביטל את הגיל המינימלי, כחלק מביטול הפנסיה התקציבית. לפני זה תנאי הפנסיה היו שונים </w:t>
      </w:r>
      <w:r>
        <w:rPr>
          <w:rFonts w:cs="David"/>
          <w:sz w:val="24"/>
          <w:szCs w:val="24"/>
          <w:rtl/>
        </w:rPr>
        <w:t>–</w:t>
      </w:r>
      <w:r>
        <w:rPr>
          <w:rFonts w:cs="David" w:hint="cs"/>
          <w:sz w:val="24"/>
          <w:szCs w:val="24"/>
          <w:rtl/>
        </w:rPr>
        <w:t xml:space="preserve"> 4% לשנה, תוך הקפדה על 10 שנות כהונה והגעה לגיל 40. ב-98 היה קו התפר בין שתי השיטות. השינוי הוחל על אנשים שפרשו מ-98. טעות של משרד הפנים גרמה לתשלום שלא כדין ל-5 אנשים שלא היו זכאים לכך, והוועדה הכשירה זאת בדיעבד לבקשת משרד הפנים. אם הוועדה רוצה לקבל החלטה נוספת, היא חייבת להתבסס על נתונים. אין לנו מידע על ההשלכות התקציביות. אם הם זכאים אז גם השארים שלהם זכאים</w:t>
      </w:r>
      <w:r w:rsidR="00C00198">
        <w:rPr>
          <w:rFonts w:cs="David" w:hint="cs"/>
          <w:sz w:val="24"/>
          <w:szCs w:val="24"/>
          <w:rtl/>
        </w:rPr>
        <w:t>".</w:t>
      </w:r>
    </w:p>
    <w:p w:rsidR="00C00198" w:rsidRDefault="00C00198" w:rsidP="00164DAD">
      <w:pPr>
        <w:spacing w:line="360" w:lineRule="auto"/>
        <w:jc w:val="both"/>
        <w:rPr>
          <w:rFonts w:cs="David" w:hint="cs"/>
          <w:sz w:val="24"/>
          <w:szCs w:val="24"/>
          <w:rtl/>
        </w:rPr>
      </w:pPr>
      <w:r>
        <w:rPr>
          <w:rFonts w:cs="David" w:hint="cs"/>
          <w:sz w:val="24"/>
          <w:szCs w:val="24"/>
          <w:rtl/>
        </w:rPr>
        <w:t xml:space="preserve">מ"מ יו"ר הוועדה ח"כ </w:t>
      </w:r>
      <w:r w:rsidRPr="00E441C7">
        <w:rPr>
          <w:rFonts w:cs="David" w:hint="cs"/>
          <w:b/>
          <w:bCs/>
          <w:sz w:val="24"/>
          <w:szCs w:val="24"/>
          <w:rtl/>
        </w:rPr>
        <w:t>נאוה בוקר</w:t>
      </w:r>
      <w:r>
        <w:rPr>
          <w:rFonts w:cs="David" w:hint="cs"/>
          <w:sz w:val="24"/>
          <w:szCs w:val="24"/>
          <w:rtl/>
        </w:rPr>
        <w:t>: "המטרה לעשות צדק ולתקן עוול".</w:t>
      </w:r>
    </w:p>
    <w:p w:rsidR="00C00198" w:rsidRDefault="00C00198" w:rsidP="00164DAD">
      <w:pPr>
        <w:spacing w:line="360" w:lineRule="auto"/>
        <w:jc w:val="both"/>
        <w:rPr>
          <w:rFonts w:cs="David" w:hint="cs"/>
          <w:sz w:val="24"/>
          <w:szCs w:val="24"/>
          <w:rtl/>
        </w:rPr>
      </w:pPr>
      <w:r>
        <w:rPr>
          <w:rFonts w:cs="David" w:hint="cs"/>
          <w:sz w:val="24"/>
          <w:szCs w:val="24"/>
          <w:rtl/>
        </w:rPr>
        <w:t xml:space="preserve">ח"כ </w:t>
      </w:r>
      <w:r w:rsidRPr="00E441C7">
        <w:rPr>
          <w:rFonts w:cs="David" w:hint="cs"/>
          <w:b/>
          <w:bCs/>
          <w:sz w:val="24"/>
          <w:szCs w:val="24"/>
          <w:rtl/>
        </w:rPr>
        <w:t>יעל גרמן</w:t>
      </w:r>
      <w:r>
        <w:rPr>
          <w:rFonts w:cs="David" w:hint="cs"/>
          <w:sz w:val="24"/>
          <w:szCs w:val="24"/>
          <w:rtl/>
        </w:rPr>
        <w:t>: ההחלטה הקודמת פגומה. לא להוסיף חטא על פשע".</w:t>
      </w:r>
    </w:p>
    <w:p w:rsidR="00C00198" w:rsidRDefault="00C00198" w:rsidP="00164DAD">
      <w:pPr>
        <w:spacing w:line="360" w:lineRule="auto"/>
        <w:jc w:val="both"/>
        <w:rPr>
          <w:rFonts w:cs="David" w:hint="cs"/>
          <w:sz w:val="24"/>
          <w:szCs w:val="24"/>
          <w:rtl/>
        </w:rPr>
      </w:pPr>
      <w:r>
        <w:rPr>
          <w:rFonts w:cs="David" w:hint="cs"/>
          <w:sz w:val="24"/>
          <w:szCs w:val="24"/>
          <w:rtl/>
        </w:rPr>
        <w:t xml:space="preserve">ח"כ </w:t>
      </w:r>
      <w:r w:rsidRPr="00E441C7">
        <w:rPr>
          <w:rFonts w:cs="David" w:hint="cs"/>
          <w:b/>
          <w:bCs/>
          <w:sz w:val="24"/>
          <w:szCs w:val="24"/>
          <w:rtl/>
        </w:rPr>
        <w:t>יואב בן צור</w:t>
      </w:r>
      <w:r>
        <w:rPr>
          <w:rFonts w:cs="David" w:hint="cs"/>
          <w:sz w:val="24"/>
          <w:szCs w:val="24"/>
          <w:rtl/>
        </w:rPr>
        <w:t>: "אני לא רוצה לומר מה שכתוב במשנה על מי שאומר גם לי גם לך לא יהיה. צריך לכבד החלטה של ועדת הפנים. לא יכול להיות שנפלה מישהו. גם אנשי קבע פורשים בגיל צעיר ועושים קריירה נוספת. זה השוליים של השוליים. 3 אנשים. יהיה קטנוני לא לאשר".</w:t>
      </w:r>
    </w:p>
    <w:p w:rsidR="00C00198" w:rsidRDefault="00C00198" w:rsidP="00164DAD">
      <w:pPr>
        <w:spacing w:line="360" w:lineRule="auto"/>
        <w:jc w:val="both"/>
        <w:rPr>
          <w:rFonts w:cs="David" w:hint="cs"/>
          <w:sz w:val="24"/>
          <w:szCs w:val="24"/>
          <w:rtl/>
        </w:rPr>
      </w:pPr>
      <w:r w:rsidRPr="00E441C7">
        <w:rPr>
          <w:rFonts w:cs="David" w:hint="cs"/>
          <w:b/>
          <w:bCs/>
          <w:sz w:val="24"/>
          <w:szCs w:val="24"/>
          <w:rtl/>
        </w:rPr>
        <w:t>פזית יצחק</w:t>
      </w:r>
      <w:r>
        <w:rPr>
          <w:rFonts w:cs="David" w:hint="cs"/>
          <w:sz w:val="24"/>
          <w:szCs w:val="24"/>
          <w:rtl/>
        </w:rPr>
        <w:t>, משרד הפנים: "זו הייתה טעות שנפלה. אין לנו עמדה. לא יודעים בכמה נבחרים מדובר".</w:t>
      </w:r>
    </w:p>
    <w:p w:rsidR="00C00198" w:rsidRDefault="00C00198" w:rsidP="00164DAD">
      <w:pPr>
        <w:spacing w:line="360" w:lineRule="auto"/>
        <w:jc w:val="both"/>
        <w:rPr>
          <w:rFonts w:cs="David"/>
          <w:sz w:val="24"/>
          <w:szCs w:val="24"/>
          <w:rtl/>
        </w:rPr>
      </w:pPr>
      <w:proofErr w:type="spellStart"/>
      <w:r w:rsidRPr="00E441C7">
        <w:rPr>
          <w:rFonts w:cs="David" w:hint="cs"/>
          <w:b/>
          <w:bCs/>
          <w:sz w:val="24"/>
          <w:szCs w:val="24"/>
          <w:rtl/>
        </w:rPr>
        <w:t>דיאא</w:t>
      </w:r>
      <w:proofErr w:type="spellEnd"/>
      <w:r w:rsidRPr="00E441C7">
        <w:rPr>
          <w:rFonts w:cs="David" w:hint="cs"/>
          <w:b/>
          <w:bCs/>
          <w:sz w:val="24"/>
          <w:szCs w:val="24"/>
          <w:rtl/>
        </w:rPr>
        <w:t xml:space="preserve"> </w:t>
      </w:r>
      <w:proofErr w:type="spellStart"/>
      <w:r w:rsidRPr="00E441C7">
        <w:rPr>
          <w:rFonts w:cs="David" w:hint="cs"/>
          <w:b/>
          <w:bCs/>
          <w:sz w:val="24"/>
          <w:szCs w:val="24"/>
          <w:rtl/>
        </w:rPr>
        <w:t>אסדי</w:t>
      </w:r>
      <w:proofErr w:type="spellEnd"/>
      <w:r>
        <w:rPr>
          <w:rFonts w:cs="David" w:hint="cs"/>
          <w:sz w:val="24"/>
          <w:szCs w:val="24"/>
          <w:rtl/>
        </w:rPr>
        <w:t>, סגן הממונה על השכר במשרד האוצר: "עמדתנו שאם הייתה טעות, צריך להפסיק תשלום, ואולי לדון בהשבה רטרואקטיבית. לא להכשיר את התשלום</w:t>
      </w:r>
      <w:r w:rsidR="000039AE">
        <w:rPr>
          <w:rFonts w:cs="David" w:hint="cs"/>
          <w:sz w:val="24"/>
          <w:szCs w:val="24"/>
          <w:rtl/>
        </w:rPr>
        <w:t>. צריך לבטל גם את ההחלטה הקודמת.</w:t>
      </w:r>
    </w:p>
    <w:p w:rsidR="00F265B9" w:rsidRDefault="00F265B9" w:rsidP="00164DAD">
      <w:pPr>
        <w:spacing w:line="360" w:lineRule="auto"/>
        <w:jc w:val="both"/>
        <w:rPr>
          <w:rFonts w:cs="David"/>
          <w:sz w:val="24"/>
          <w:szCs w:val="24"/>
          <w:rtl/>
        </w:rPr>
      </w:pPr>
    </w:p>
    <w:p w:rsidR="00F265B9" w:rsidRDefault="00F265B9" w:rsidP="00164DAD">
      <w:pPr>
        <w:spacing w:line="360" w:lineRule="auto"/>
        <w:jc w:val="both"/>
        <w:rPr>
          <w:rFonts w:cs="David"/>
          <w:sz w:val="24"/>
          <w:szCs w:val="24"/>
          <w:rtl/>
        </w:rPr>
      </w:pPr>
      <w:r>
        <w:rPr>
          <w:rFonts w:cs="David" w:hint="cs"/>
          <w:sz w:val="24"/>
          <w:szCs w:val="24"/>
          <w:rtl/>
        </w:rPr>
        <w:t>הוועדה החליטה לקיים דיון נוסף בנושא, ועד אז משרד הפנים נדרש להעביר נתונים על מספר האנשים שפרשו בעבר מכהונת ראש רשות מקומית וקיבלו מענק פרישה ולא פנסיה.</w:t>
      </w:r>
    </w:p>
    <w:p w:rsidR="00164DAD" w:rsidRDefault="00164DAD" w:rsidP="00164DAD">
      <w:pPr>
        <w:spacing w:line="240" w:lineRule="auto"/>
        <w:jc w:val="both"/>
        <w:rPr>
          <w:rFonts w:cs="David"/>
          <w:sz w:val="24"/>
          <w:szCs w:val="24"/>
          <w:rtl/>
        </w:rPr>
      </w:pPr>
    </w:p>
    <w:p w:rsidR="00164DAD" w:rsidRPr="00651658" w:rsidRDefault="00164DAD" w:rsidP="00164DAD">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164DAD" w:rsidRPr="00651658" w:rsidRDefault="00164DAD" w:rsidP="00164DAD">
      <w:pPr>
        <w:spacing w:line="240" w:lineRule="auto"/>
        <w:jc w:val="both"/>
        <w:rPr>
          <w:rFonts w:cs="David"/>
          <w:sz w:val="24"/>
          <w:szCs w:val="24"/>
          <w:rtl/>
        </w:rPr>
      </w:pPr>
      <w:r w:rsidRPr="00651658">
        <w:rPr>
          <w:rFonts w:cs="David" w:hint="cs"/>
          <w:sz w:val="24"/>
          <w:szCs w:val="24"/>
          <w:rtl/>
        </w:rPr>
        <w:t>רבקה קנריק</w:t>
      </w:r>
    </w:p>
    <w:p w:rsidR="00164DAD" w:rsidRPr="00651658" w:rsidRDefault="00164DAD" w:rsidP="00164DAD">
      <w:pPr>
        <w:spacing w:line="240" w:lineRule="auto"/>
        <w:jc w:val="both"/>
        <w:rPr>
          <w:rFonts w:cs="David"/>
          <w:sz w:val="24"/>
          <w:szCs w:val="24"/>
          <w:rtl/>
        </w:rPr>
      </w:pPr>
      <w:r w:rsidRPr="00651658">
        <w:rPr>
          <w:rFonts w:cs="David" w:hint="cs"/>
          <w:sz w:val="24"/>
          <w:szCs w:val="24"/>
          <w:rtl/>
        </w:rPr>
        <w:t>דוברת ועדת הפנים והגנת הסביבה</w:t>
      </w:r>
    </w:p>
    <w:p w:rsidR="00164DAD" w:rsidRPr="00651658" w:rsidRDefault="00164DAD" w:rsidP="00164DAD">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164DAD" w:rsidRDefault="00164DAD" w:rsidP="00164DAD">
      <w:pPr>
        <w:spacing w:line="240" w:lineRule="auto"/>
      </w:pPr>
      <w:r>
        <w:rPr>
          <w:rFonts w:cs="David" w:hint="cs"/>
          <w:sz w:val="24"/>
          <w:szCs w:val="24"/>
          <w:rtl/>
        </w:rPr>
        <w:t>050-6230458</w:t>
      </w:r>
    </w:p>
    <w:p w:rsidR="00BF039F" w:rsidRPr="00164DAD" w:rsidRDefault="001F107F"/>
    <w:sectPr w:rsidR="00BF039F" w:rsidRPr="00164DAD"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DAD"/>
    <w:rsid w:val="000039AE"/>
    <w:rsid w:val="00164DAD"/>
    <w:rsid w:val="00271B58"/>
    <w:rsid w:val="003502D5"/>
    <w:rsid w:val="0064481B"/>
    <w:rsid w:val="00665A56"/>
    <w:rsid w:val="00C00198"/>
    <w:rsid w:val="00E441C7"/>
    <w:rsid w:val="00EB10F8"/>
    <w:rsid w:val="00ED1180"/>
    <w:rsid w:val="00F265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DD405F-40D5-44CD-A07C-035DC985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4DA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34E302-1D56-4052-A17F-8A9F669C4639}"/>
</file>

<file path=customXml/itemProps2.xml><?xml version="1.0" encoding="utf-8"?>
<ds:datastoreItem xmlns:ds="http://schemas.openxmlformats.org/officeDocument/2006/customXml" ds:itemID="{05FB3BB7-04C9-4B11-8FDC-F42B83118C61}"/>
</file>

<file path=customXml/itemProps3.xml><?xml version="1.0" encoding="utf-8"?>
<ds:datastoreItem xmlns:ds="http://schemas.openxmlformats.org/officeDocument/2006/customXml" ds:itemID="{DBC48DE0-66C1-4F38-9E24-B977D942CBBC}"/>
</file>

<file path=docProps/app.xml><?xml version="1.0" encoding="utf-8"?>
<Properties xmlns="http://schemas.openxmlformats.org/officeDocument/2006/extended-properties" xmlns:vt="http://schemas.openxmlformats.org/officeDocument/2006/docPropsVTypes">
  <Template>Normal</Template>
  <TotalTime>67</TotalTime>
  <Pages>1</Pages>
  <Words>632</Words>
  <Characters>3163</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2017-05-16T12:29:00Z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2016881</vt:r8>
  </property>
</Properties>
</file>