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5DA" w:rsidRDefault="002B55DA" w:rsidP="002B55DA">
      <w:pPr>
        <w:jc w:val="center"/>
        <w:rPr>
          <w:color w:val="000080"/>
        </w:rPr>
      </w:pPr>
      <w:bookmarkStart w:id="0" w:name="_GoBack"/>
      <w:bookmarkEnd w:id="0"/>
      <w:r>
        <w:rPr>
          <w:noProof/>
          <w:color w:val="000080"/>
        </w:rPr>
        <w:drawing>
          <wp:inline distT="0" distB="0" distL="0" distR="0" wp14:anchorId="3609D002" wp14:editId="317DA1F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B55DA" w:rsidRDefault="002B55DA" w:rsidP="002B55DA">
      <w:pPr>
        <w:spacing w:after="120"/>
        <w:jc w:val="center"/>
        <w:rPr>
          <w:rFonts w:cs="David"/>
          <w:b/>
          <w:bCs/>
          <w:color w:val="000080"/>
          <w:sz w:val="26"/>
          <w:szCs w:val="26"/>
        </w:rPr>
      </w:pPr>
      <w:r>
        <w:rPr>
          <w:rFonts w:cs="David" w:hint="cs"/>
          <w:b/>
          <w:bCs/>
          <w:color w:val="000080"/>
          <w:sz w:val="26"/>
          <w:szCs w:val="26"/>
          <w:rtl/>
        </w:rPr>
        <w:t>הכנסת</w:t>
      </w:r>
    </w:p>
    <w:p w:rsidR="002B55DA" w:rsidRDefault="002B55DA" w:rsidP="002B55DA">
      <w:pPr>
        <w:spacing w:line="280" w:lineRule="atLeast"/>
        <w:jc w:val="center"/>
        <w:rPr>
          <w:rtl/>
        </w:rPr>
      </w:pPr>
      <w:r>
        <w:rPr>
          <w:rFonts w:hint="cs"/>
          <w:b/>
          <w:bCs/>
          <w:color w:val="000080"/>
          <w:sz w:val="26"/>
          <w:szCs w:val="26"/>
          <w:rtl/>
        </w:rPr>
        <w:t>ועדת הפנים והגנת הסביבה</w:t>
      </w:r>
    </w:p>
    <w:p w:rsidR="002B55DA" w:rsidRDefault="002B55DA" w:rsidP="002B55DA">
      <w:pPr>
        <w:spacing w:line="280" w:lineRule="atLeast"/>
        <w:rPr>
          <w:rtl/>
        </w:rPr>
      </w:pPr>
    </w:p>
    <w:p w:rsidR="002B55DA" w:rsidRDefault="002B55DA" w:rsidP="002B55DA">
      <w:pPr>
        <w:spacing w:line="280" w:lineRule="atLeast"/>
        <w:jc w:val="right"/>
      </w:pPr>
      <w:r>
        <w:rPr>
          <w:rtl/>
        </w:rPr>
        <w:t>ירושלים</w:t>
      </w:r>
      <w:r>
        <w:rPr>
          <w:rFonts w:hint="cs"/>
          <w:rtl/>
        </w:rPr>
        <w:t xml:space="preserve"> , ד' בכסלו תשע"ח</w:t>
      </w:r>
    </w:p>
    <w:p w:rsidR="002B55DA" w:rsidRDefault="002B55DA" w:rsidP="002B55DA">
      <w:pPr>
        <w:jc w:val="right"/>
        <w:rPr>
          <w:b/>
          <w:bCs/>
          <w:sz w:val="40"/>
          <w:szCs w:val="40"/>
          <w:u w:val="single"/>
          <w:rtl/>
        </w:rPr>
      </w:pPr>
      <w:r>
        <w:rPr>
          <w:rFonts w:hint="cs"/>
          <w:rtl/>
        </w:rPr>
        <w:t>22.11.2017</w:t>
      </w:r>
    </w:p>
    <w:p w:rsidR="002B55DA" w:rsidRDefault="002B55DA" w:rsidP="002B55DA">
      <w:pPr>
        <w:spacing w:line="360" w:lineRule="auto"/>
        <w:jc w:val="center"/>
        <w:rPr>
          <w:rFonts w:cs="David"/>
          <w:sz w:val="48"/>
          <w:szCs w:val="48"/>
          <w:u w:val="single"/>
          <w:rtl/>
        </w:rPr>
      </w:pPr>
      <w:r w:rsidRPr="00651658">
        <w:rPr>
          <w:rFonts w:cs="David" w:hint="cs"/>
          <w:sz w:val="48"/>
          <w:szCs w:val="48"/>
          <w:u w:val="single"/>
          <w:rtl/>
        </w:rPr>
        <w:t>הודעה לעיתונות</w:t>
      </w:r>
    </w:p>
    <w:p w:rsidR="002A6089" w:rsidRPr="002A6089" w:rsidRDefault="002A6089" w:rsidP="002B55DA">
      <w:pPr>
        <w:spacing w:line="360" w:lineRule="auto"/>
        <w:jc w:val="center"/>
        <w:rPr>
          <w:rFonts w:cs="David"/>
          <w:b/>
          <w:bCs/>
          <w:sz w:val="48"/>
          <w:szCs w:val="48"/>
          <w:rtl/>
        </w:rPr>
      </w:pPr>
      <w:r w:rsidRPr="002A6089">
        <w:rPr>
          <w:rFonts w:cs="David" w:hint="cs"/>
          <w:b/>
          <w:bCs/>
          <w:sz w:val="48"/>
          <w:szCs w:val="48"/>
          <w:rtl/>
        </w:rPr>
        <w:t>ועדת הפנים לא הצביעה היום על חוק ההמלצות</w:t>
      </w:r>
    </w:p>
    <w:p w:rsidR="002A6089" w:rsidRPr="00833F7D" w:rsidRDefault="002A6089" w:rsidP="002B55DA">
      <w:pPr>
        <w:spacing w:line="360" w:lineRule="auto"/>
        <w:jc w:val="center"/>
        <w:rPr>
          <w:rFonts w:cs="David"/>
          <w:sz w:val="36"/>
          <w:szCs w:val="36"/>
          <w:u w:val="single"/>
          <w:rtl/>
        </w:rPr>
      </w:pPr>
      <w:r w:rsidRPr="00833F7D">
        <w:rPr>
          <w:rFonts w:cs="David" w:hint="cs"/>
          <w:sz w:val="36"/>
          <w:szCs w:val="36"/>
          <w:u w:val="single"/>
          <w:rtl/>
        </w:rPr>
        <w:t xml:space="preserve">נציגת היועץ המשפטי לממשלה: </w:t>
      </w:r>
    </w:p>
    <w:p w:rsidR="00127712" w:rsidRDefault="002A6089" w:rsidP="00833F7D">
      <w:pPr>
        <w:spacing w:line="240" w:lineRule="auto"/>
        <w:jc w:val="center"/>
        <w:rPr>
          <w:rFonts w:cs="David"/>
          <w:sz w:val="24"/>
          <w:szCs w:val="24"/>
          <w:rtl/>
        </w:rPr>
      </w:pPr>
      <w:r w:rsidRPr="00833F7D">
        <w:rPr>
          <w:rFonts w:cs="David" w:hint="cs"/>
          <w:b/>
          <w:bCs/>
          <w:sz w:val="48"/>
          <w:szCs w:val="48"/>
          <w:rtl/>
        </w:rPr>
        <w:t xml:space="preserve">לא להציג את מכלול הראיות בתיק </w:t>
      </w:r>
      <w:r w:rsidR="00833F7D">
        <w:rPr>
          <w:rFonts w:cs="David" w:hint="cs"/>
          <w:b/>
          <w:bCs/>
          <w:sz w:val="48"/>
          <w:szCs w:val="48"/>
          <w:rtl/>
        </w:rPr>
        <w:t xml:space="preserve">לפרקליטות, </w:t>
      </w:r>
      <w:r w:rsidRPr="00833F7D">
        <w:rPr>
          <w:rFonts w:cs="David" w:hint="cs"/>
          <w:b/>
          <w:bCs/>
          <w:sz w:val="48"/>
          <w:szCs w:val="48"/>
          <w:rtl/>
        </w:rPr>
        <w:t>זה פוגע בחקירה ובעבודת התביעה וגם באזרח</w:t>
      </w:r>
      <w:r w:rsidR="00127712" w:rsidRPr="00127712">
        <w:rPr>
          <w:rFonts w:cs="David" w:hint="cs"/>
          <w:sz w:val="24"/>
          <w:szCs w:val="24"/>
          <w:rtl/>
        </w:rPr>
        <w:t xml:space="preserve"> </w:t>
      </w:r>
    </w:p>
    <w:p w:rsidR="00127712" w:rsidRDefault="00127712" w:rsidP="00127712">
      <w:pPr>
        <w:spacing w:line="240" w:lineRule="auto"/>
        <w:jc w:val="center"/>
        <w:rPr>
          <w:rFonts w:cs="David"/>
          <w:sz w:val="24"/>
          <w:szCs w:val="24"/>
          <w:rtl/>
        </w:rPr>
      </w:pPr>
      <w:r>
        <w:rPr>
          <w:rFonts w:cs="David" w:hint="cs"/>
          <w:sz w:val="36"/>
          <w:szCs w:val="36"/>
          <w:u w:val="single"/>
          <w:rtl/>
        </w:rPr>
        <w:t xml:space="preserve">יו"ר הוועדה דודי </w:t>
      </w:r>
      <w:r w:rsidRPr="00127712">
        <w:rPr>
          <w:rFonts w:cs="David" w:hint="cs"/>
          <w:sz w:val="36"/>
          <w:szCs w:val="36"/>
          <w:u w:val="single"/>
          <w:rtl/>
        </w:rPr>
        <w:t xml:space="preserve"> אמסלם</w:t>
      </w:r>
      <w:r>
        <w:rPr>
          <w:rFonts w:cs="David" w:hint="cs"/>
          <w:sz w:val="24"/>
          <w:szCs w:val="24"/>
          <w:rtl/>
        </w:rPr>
        <w:t>:</w:t>
      </w:r>
    </w:p>
    <w:p w:rsidR="00833F7D" w:rsidRDefault="00127712" w:rsidP="00127712">
      <w:pPr>
        <w:spacing w:line="240" w:lineRule="auto"/>
        <w:jc w:val="center"/>
        <w:rPr>
          <w:rFonts w:cs="David"/>
          <w:b/>
          <w:bCs/>
          <w:sz w:val="48"/>
          <w:szCs w:val="48"/>
          <w:rtl/>
        </w:rPr>
      </w:pPr>
      <w:r w:rsidRPr="00127712">
        <w:rPr>
          <w:rFonts w:cs="David" w:hint="cs"/>
          <w:b/>
          <w:bCs/>
          <w:sz w:val="48"/>
          <w:szCs w:val="48"/>
          <w:rtl/>
        </w:rPr>
        <w:t>איפה המאזן?</w:t>
      </w:r>
      <w:r>
        <w:rPr>
          <w:rFonts w:cs="David" w:hint="cs"/>
          <w:b/>
          <w:bCs/>
          <w:sz w:val="48"/>
          <w:szCs w:val="48"/>
          <w:rtl/>
        </w:rPr>
        <w:t xml:space="preserve"> מה עם</w:t>
      </w:r>
      <w:r w:rsidRPr="00127712">
        <w:rPr>
          <w:rFonts w:cs="David" w:hint="cs"/>
          <w:b/>
          <w:bCs/>
          <w:sz w:val="48"/>
          <w:szCs w:val="48"/>
          <w:rtl/>
        </w:rPr>
        <w:t xml:space="preserve"> 14,000 תיקים שסוגרים ונהרסים חי</w:t>
      </w:r>
      <w:r>
        <w:rPr>
          <w:rFonts w:cs="David" w:hint="cs"/>
          <w:b/>
          <w:bCs/>
          <w:sz w:val="48"/>
          <w:szCs w:val="48"/>
          <w:rtl/>
        </w:rPr>
        <w:t>י</w:t>
      </w:r>
      <w:r w:rsidRPr="00127712">
        <w:rPr>
          <w:rFonts w:cs="David" w:hint="cs"/>
          <w:b/>
          <w:bCs/>
          <w:sz w:val="48"/>
          <w:szCs w:val="48"/>
          <w:rtl/>
        </w:rPr>
        <w:t xml:space="preserve"> אנשים?"</w:t>
      </w:r>
    </w:p>
    <w:p w:rsidR="002B55DA" w:rsidRDefault="002B55DA" w:rsidP="00D563DB">
      <w:pPr>
        <w:spacing w:line="360" w:lineRule="auto"/>
        <w:jc w:val="both"/>
        <w:rPr>
          <w:rFonts w:cs="David"/>
          <w:sz w:val="24"/>
          <w:szCs w:val="24"/>
          <w:rtl/>
        </w:rPr>
      </w:pPr>
      <w:r w:rsidRPr="00833F7D">
        <w:rPr>
          <w:rFonts w:cs="David" w:hint="cs"/>
          <w:sz w:val="24"/>
          <w:szCs w:val="24"/>
          <w:rtl/>
        </w:rPr>
        <w:t>ועדת הפנים</w:t>
      </w:r>
      <w:r>
        <w:rPr>
          <w:rFonts w:cs="David" w:hint="cs"/>
          <w:sz w:val="24"/>
          <w:szCs w:val="24"/>
          <w:rtl/>
        </w:rPr>
        <w:t xml:space="preserve"> בראשות ח"כ </w:t>
      </w:r>
      <w:r w:rsidRPr="00833F7D">
        <w:rPr>
          <w:rFonts w:cs="David" w:hint="cs"/>
          <w:b/>
          <w:bCs/>
          <w:sz w:val="24"/>
          <w:szCs w:val="24"/>
          <w:rtl/>
        </w:rPr>
        <w:t>דודי אמסלם</w:t>
      </w:r>
      <w:r>
        <w:rPr>
          <w:rFonts w:cs="David" w:hint="cs"/>
          <w:sz w:val="24"/>
          <w:szCs w:val="24"/>
          <w:rtl/>
        </w:rPr>
        <w:t>, שהמשיכה לדון היום בהצעת החוק של יו"ר הוועדה לאסור המלצות של רשות חוקרת, לא הצביעה היום על ההצעה. דיון נוסף בהצעת החוק, מחר</w:t>
      </w:r>
      <w:r w:rsidR="00D563DB">
        <w:rPr>
          <w:rFonts w:cs="David" w:hint="cs"/>
          <w:sz w:val="24"/>
          <w:szCs w:val="24"/>
          <w:rtl/>
        </w:rPr>
        <w:t>, ב11:00</w:t>
      </w:r>
      <w:r>
        <w:rPr>
          <w:rFonts w:cs="David" w:hint="cs"/>
          <w:sz w:val="24"/>
          <w:szCs w:val="24"/>
          <w:rtl/>
        </w:rPr>
        <w:t>.</w:t>
      </w:r>
      <w:r w:rsidR="00833F7D">
        <w:rPr>
          <w:rFonts w:cs="David" w:hint="cs"/>
          <w:sz w:val="24"/>
          <w:szCs w:val="24"/>
          <w:rtl/>
        </w:rPr>
        <w:t xml:space="preserve"> </w:t>
      </w:r>
      <w:r w:rsidR="009B3392">
        <w:rPr>
          <w:rFonts w:cs="David" w:hint="cs"/>
          <w:sz w:val="24"/>
          <w:szCs w:val="24"/>
          <w:rtl/>
        </w:rPr>
        <w:t xml:space="preserve">יו"ר הוועדה ח"כ </w:t>
      </w:r>
      <w:r w:rsidR="009B3392" w:rsidRPr="00833F7D">
        <w:rPr>
          <w:rFonts w:cs="David" w:hint="cs"/>
          <w:b/>
          <w:bCs/>
          <w:sz w:val="24"/>
          <w:szCs w:val="24"/>
          <w:rtl/>
        </w:rPr>
        <w:t>דודי אמסלם</w:t>
      </w:r>
      <w:r w:rsidR="009B3392">
        <w:rPr>
          <w:rFonts w:cs="David" w:hint="cs"/>
          <w:sz w:val="24"/>
          <w:szCs w:val="24"/>
          <w:rtl/>
        </w:rPr>
        <w:t>: "חברי כנסת רבים ביקשו להתבטא ומכיוו</w:t>
      </w:r>
      <w:r w:rsidR="009B3392">
        <w:rPr>
          <w:rFonts w:cs="David" w:hint="eastAsia"/>
          <w:sz w:val="24"/>
          <w:szCs w:val="24"/>
          <w:rtl/>
        </w:rPr>
        <w:t>ן</w:t>
      </w:r>
      <w:r w:rsidR="009B3392">
        <w:rPr>
          <w:rFonts w:cs="David" w:hint="cs"/>
          <w:sz w:val="24"/>
          <w:szCs w:val="24"/>
          <w:rtl/>
        </w:rPr>
        <w:t xml:space="preserve"> שרציתי </w:t>
      </w:r>
      <w:r w:rsidR="00DF7CB8">
        <w:rPr>
          <w:rFonts w:cs="David" w:hint="cs"/>
          <w:sz w:val="24"/>
          <w:szCs w:val="24"/>
          <w:rtl/>
        </w:rPr>
        <w:t>לאפשר לכולם להביע את עמדותיהם, לא הספקנו להצביע היום".</w:t>
      </w:r>
    </w:p>
    <w:p w:rsidR="00C46E6D" w:rsidRDefault="00C46E6D" w:rsidP="00127712">
      <w:pPr>
        <w:spacing w:line="360" w:lineRule="auto"/>
        <w:jc w:val="both"/>
        <w:rPr>
          <w:rFonts w:cs="David"/>
          <w:sz w:val="24"/>
          <w:szCs w:val="24"/>
          <w:rtl/>
        </w:rPr>
      </w:pPr>
      <w:r w:rsidRPr="00833F7D">
        <w:rPr>
          <w:rFonts w:cs="David" w:hint="cs"/>
          <w:b/>
          <w:bCs/>
          <w:sz w:val="24"/>
          <w:szCs w:val="24"/>
          <w:rtl/>
        </w:rPr>
        <w:t>עמית מררי</w:t>
      </w:r>
      <w:r>
        <w:rPr>
          <w:rFonts w:cs="David" w:hint="cs"/>
          <w:sz w:val="24"/>
          <w:szCs w:val="24"/>
          <w:rtl/>
        </w:rPr>
        <w:t xml:space="preserve">, נציגת היועץ המשפטי לממשלה: "אין מחלוקת שלפרסם </w:t>
      </w:r>
      <w:r w:rsidR="00833F7D">
        <w:rPr>
          <w:rFonts w:cs="David" w:hint="cs"/>
          <w:sz w:val="24"/>
          <w:szCs w:val="24"/>
          <w:rtl/>
        </w:rPr>
        <w:t>את ה</w:t>
      </w:r>
      <w:r>
        <w:rPr>
          <w:rFonts w:cs="David" w:hint="cs"/>
          <w:sz w:val="24"/>
          <w:szCs w:val="24"/>
          <w:rtl/>
        </w:rPr>
        <w:t xml:space="preserve">המלצות זה לא נכון. אין מקום שהמשטרה תיתן שורה תחתונה. על מה יש מחלוקת? על הגדרת ההמלצה. לא להציג את מכלול הראיות בתיק זה פוגע בחקירה ובעבודת התביעה וגם באזרח, שטובתו היא שגם עבירות של תיקים מלווים ייחקרו". יו"ר הוועדה, </w:t>
      </w:r>
      <w:r w:rsidR="009B3392" w:rsidRPr="00833F7D">
        <w:rPr>
          <w:rFonts w:cs="David" w:hint="cs"/>
          <w:b/>
          <w:bCs/>
          <w:sz w:val="24"/>
          <w:szCs w:val="24"/>
          <w:rtl/>
        </w:rPr>
        <w:t>מררי:</w:t>
      </w:r>
      <w:r w:rsidR="009B3392">
        <w:rPr>
          <w:rFonts w:cs="David" w:hint="cs"/>
          <w:sz w:val="24"/>
          <w:szCs w:val="24"/>
          <w:rtl/>
        </w:rPr>
        <w:t xml:space="preserve"> "יש הנחיה מפורשת שלא להדליף. זו עבירה פלילית שעונשה 3 שנים". </w:t>
      </w:r>
    </w:p>
    <w:p w:rsidR="00C46E6D" w:rsidRDefault="00C46E6D" w:rsidP="00833F7D">
      <w:pPr>
        <w:spacing w:line="360" w:lineRule="auto"/>
        <w:jc w:val="both"/>
        <w:rPr>
          <w:rFonts w:cs="David"/>
          <w:sz w:val="24"/>
          <w:szCs w:val="24"/>
          <w:rtl/>
        </w:rPr>
      </w:pPr>
      <w:r>
        <w:rPr>
          <w:rFonts w:cs="David" w:hint="cs"/>
          <w:sz w:val="24"/>
          <w:szCs w:val="24"/>
          <w:rtl/>
        </w:rPr>
        <w:t xml:space="preserve">ח"כ </w:t>
      </w:r>
      <w:r w:rsidRPr="00833F7D">
        <w:rPr>
          <w:rFonts w:cs="David" w:hint="cs"/>
          <w:b/>
          <w:bCs/>
          <w:sz w:val="24"/>
          <w:szCs w:val="24"/>
          <w:rtl/>
        </w:rPr>
        <w:t>מיקי רוזנטל</w:t>
      </w:r>
      <w:r>
        <w:rPr>
          <w:rFonts w:cs="David" w:hint="cs"/>
          <w:sz w:val="24"/>
          <w:szCs w:val="24"/>
          <w:rtl/>
        </w:rPr>
        <w:t>: "מה זה המופע אימים הזה? כל משפט אתה מפסיק. הגורמים המקצועיים נגדך. זה לא בסדר ההתנהלות שלך".</w:t>
      </w:r>
      <w:r w:rsidR="009B3392">
        <w:rPr>
          <w:rFonts w:cs="David" w:hint="cs"/>
          <w:sz w:val="24"/>
          <w:szCs w:val="24"/>
          <w:rtl/>
        </w:rPr>
        <w:t xml:space="preserve"> ח"כ </w:t>
      </w:r>
      <w:r w:rsidR="009B3392" w:rsidRPr="00833F7D">
        <w:rPr>
          <w:rFonts w:cs="David" w:hint="cs"/>
          <w:b/>
          <w:bCs/>
          <w:sz w:val="24"/>
          <w:szCs w:val="24"/>
          <w:rtl/>
        </w:rPr>
        <w:t>מיקי לוי</w:t>
      </w:r>
      <w:r w:rsidR="009B3392">
        <w:rPr>
          <w:rFonts w:cs="David" w:hint="cs"/>
          <w:sz w:val="24"/>
          <w:szCs w:val="24"/>
          <w:rtl/>
        </w:rPr>
        <w:t>: "החוק הזה ימנע את ההדלפו</w:t>
      </w:r>
      <w:r w:rsidR="00833F7D">
        <w:rPr>
          <w:rFonts w:cs="David" w:hint="cs"/>
          <w:sz w:val="24"/>
          <w:szCs w:val="24"/>
          <w:rtl/>
        </w:rPr>
        <w:t>ת</w:t>
      </w:r>
      <w:r w:rsidR="009B3392">
        <w:rPr>
          <w:rFonts w:cs="David" w:hint="cs"/>
          <w:sz w:val="24"/>
          <w:szCs w:val="24"/>
          <w:rtl/>
        </w:rPr>
        <w:t xml:space="preserve">?" ח"כ </w:t>
      </w:r>
      <w:r w:rsidR="009B3392" w:rsidRPr="00833F7D">
        <w:rPr>
          <w:rFonts w:cs="David" w:hint="cs"/>
          <w:b/>
          <w:bCs/>
          <w:sz w:val="24"/>
          <w:szCs w:val="24"/>
          <w:rtl/>
        </w:rPr>
        <w:t>יעל גרמן</w:t>
      </w:r>
      <w:r w:rsidR="009B3392">
        <w:rPr>
          <w:rFonts w:cs="David" w:hint="cs"/>
          <w:sz w:val="24"/>
          <w:szCs w:val="24"/>
          <w:rtl/>
        </w:rPr>
        <w:t xml:space="preserve">: "כמה מתפרסמים? נשמע מספר". </w:t>
      </w:r>
      <w:r w:rsidR="009B3392" w:rsidRPr="00833F7D">
        <w:rPr>
          <w:rFonts w:cs="David" w:hint="cs"/>
          <w:b/>
          <w:bCs/>
          <w:sz w:val="24"/>
          <w:szCs w:val="24"/>
          <w:rtl/>
        </w:rPr>
        <w:t>מררי</w:t>
      </w:r>
      <w:r w:rsidR="009B3392">
        <w:rPr>
          <w:rFonts w:cs="David" w:hint="cs"/>
          <w:sz w:val="24"/>
          <w:szCs w:val="24"/>
          <w:rtl/>
        </w:rPr>
        <w:t xml:space="preserve">: "אין לי מספר". ח"כ </w:t>
      </w:r>
      <w:r w:rsidR="009B3392" w:rsidRPr="00833F7D">
        <w:rPr>
          <w:rFonts w:cs="David" w:hint="cs"/>
          <w:b/>
          <w:bCs/>
          <w:sz w:val="24"/>
          <w:szCs w:val="24"/>
          <w:rtl/>
        </w:rPr>
        <w:t>מיקי לוי</w:t>
      </w:r>
      <w:r w:rsidR="009B3392">
        <w:rPr>
          <w:rFonts w:cs="David" w:hint="cs"/>
          <w:sz w:val="24"/>
          <w:szCs w:val="24"/>
          <w:rtl/>
        </w:rPr>
        <w:t xml:space="preserve">: "אם ראש העיר שלי חשוד במעילה אני רוצה לדעת. ח"כ </w:t>
      </w:r>
      <w:r w:rsidR="009B3392" w:rsidRPr="00833F7D">
        <w:rPr>
          <w:rFonts w:cs="David" w:hint="cs"/>
          <w:b/>
          <w:bCs/>
          <w:sz w:val="24"/>
          <w:szCs w:val="24"/>
          <w:rtl/>
        </w:rPr>
        <w:t>יעל גרמן</w:t>
      </w:r>
      <w:r w:rsidR="009B3392">
        <w:rPr>
          <w:rFonts w:cs="David" w:hint="cs"/>
          <w:sz w:val="24"/>
          <w:szCs w:val="24"/>
          <w:rtl/>
        </w:rPr>
        <w:t>: "יש כמה עשרות מקרים של פרקליט מלווה. על זה החוק".</w:t>
      </w:r>
    </w:p>
    <w:p w:rsidR="009B3392" w:rsidRDefault="009B3392" w:rsidP="00C46E6D">
      <w:pPr>
        <w:spacing w:line="360" w:lineRule="auto"/>
        <w:jc w:val="both"/>
        <w:rPr>
          <w:rFonts w:cs="David"/>
          <w:sz w:val="24"/>
          <w:szCs w:val="24"/>
          <w:rtl/>
        </w:rPr>
      </w:pPr>
      <w:r w:rsidRPr="00833F7D">
        <w:rPr>
          <w:rFonts w:cs="David" w:hint="cs"/>
          <w:b/>
          <w:bCs/>
          <w:sz w:val="24"/>
          <w:szCs w:val="24"/>
          <w:rtl/>
        </w:rPr>
        <w:lastRenderedPageBreak/>
        <w:t>עמית מררי</w:t>
      </w:r>
      <w:r>
        <w:rPr>
          <w:rFonts w:cs="David" w:hint="cs"/>
          <w:sz w:val="24"/>
          <w:szCs w:val="24"/>
          <w:rtl/>
        </w:rPr>
        <w:t>: "הצעת החוק מדברת על תיקים מלווים</w:t>
      </w:r>
      <w:r w:rsidR="00833F7D">
        <w:rPr>
          <w:rFonts w:cs="David" w:hint="cs"/>
          <w:sz w:val="24"/>
          <w:szCs w:val="24"/>
          <w:rtl/>
        </w:rPr>
        <w:t>.</w:t>
      </w:r>
      <w:r>
        <w:rPr>
          <w:rFonts w:cs="David" w:hint="cs"/>
          <w:sz w:val="24"/>
          <w:szCs w:val="24"/>
          <w:rtl/>
        </w:rPr>
        <w:t xml:space="preserve"> גם זה יפגע בעבודת התביעה, אמנם באופן מצומצם יותר. הפרקליט המלווה לא יושב בחדר החקירות". ח"כ </w:t>
      </w:r>
      <w:r w:rsidRPr="00833F7D">
        <w:rPr>
          <w:rFonts w:cs="David" w:hint="cs"/>
          <w:b/>
          <w:bCs/>
          <w:sz w:val="24"/>
          <w:szCs w:val="24"/>
          <w:rtl/>
        </w:rPr>
        <w:t>דב חנין:</w:t>
      </w:r>
      <w:r>
        <w:rPr>
          <w:rFonts w:cs="David" w:hint="cs"/>
          <w:sz w:val="24"/>
          <w:szCs w:val="24"/>
          <w:rtl/>
        </w:rPr>
        <w:t xml:space="preserve"> "מה עושה פרקליט מלווה?" </w:t>
      </w:r>
      <w:r w:rsidRPr="00833F7D">
        <w:rPr>
          <w:rFonts w:cs="David" w:hint="cs"/>
          <w:b/>
          <w:bCs/>
          <w:sz w:val="24"/>
          <w:szCs w:val="24"/>
          <w:rtl/>
        </w:rPr>
        <w:t>מררי</w:t>
      </w:r>
      <w:r>
        <w:rPr>
          <w:rFonts w:cs="David" w:hint="cs"/>
          <w:sz w:val="24"/>
          <w:szCs w:val="24"/>
          <w:rtl/>
        </w:rPr>
        <w:t>: "פרקליט מלווה בכל מיני שלבי חקירה. לעיתים הוא יותר בקיא בפרטי החקירה. לפעמים הוא מנחה מה לעשות בהמשך".</w:t>
      </w:r>
    </w:p>
    <w:p w:rsidR="00DF7CB8" w:rsidRDefault="00DF7CB8" w:rsidP="00C46E6D">
      <w:pPr>
        <w:spacing w:line="360" w:lineRule="auto"/>
        <w:jc w:val="both"/>
        <w:rPr>
          <w:rFonts w:cs="David"/>
          <w:sz w:val="24"/>
          <w:szCs w:val="24"/>
          <w:rtl/>
        </w:rPr>
      </w:pPr>
      <w:r>
        <w:rPr>
          <w:rFonts w:cs="David" w:hint="cs"/>
          <w:sz w:val="24"/>
          <w:szCs w:val="24"/>
          <w:rtl/>
        </w:rPr>
        <w:t xml:space="preserve">יו"ר הוועדה </w:t>
      </w:r>
      <w:r w:rsidR="00833F7D">
        <w:rPr>
          <w:rFonts w:cs="David" w:hint="cs"/>
          <w:sz w:val="24"/>
          <w:szCs w:val="24"/>
          <w:rtl/>
        </w:rPr>
        <w:t xml:space="preserve">ח"כ </w:t>
      </w:r>
      <w:r w:rsidR="00833F7D" w:rsidRPr="00833F7D">
        <w:rPr>
          <w:rFonts w:cs="David" w:hint="cs"/>
          <w:b/>
          <w:bCs/>
          <w:sz w:val="24"/>
          <w:szCs w:val="24"/>
          <w:rtl/>
        </w:rPr>
        <w:t>אמסלם</w:t>
      </w:r>
      <w:r w:rsidR="00833F7D">
        <w:rPr>
          <w:rFonts w:cs="David" w:hint="cs"/>
          <w:sz w:val="24"/>
          <w:szCs w:val="24"/>
          <w:rtl/>
        </w:rPr>
        <w:t xml:space="preserve"> </w:t>
      </w:r>
      <w:r>
        <w:rPr>
          <w:rFonts w:cs="David" w:hint="cs"/>
          <w:sz w:val="24"/>
          <w:szCs w:val="24"/>
          <w:rtl/>
        </w:rPr>
        <w:t xml:space="preserve">התייחס לחלק השני של החוק, שעניינו איסור להדליף את המלצת המשטרה: "היום יש זלזול של הרשויות שאמורות לאכוף את החוק האוסר הדלפות. אם הייתם חוקרים הדלפות לא היה צורך בחוק הזה, אבל אתם מתעלמים מהחוק באופן גורף. לכן תפקיד המחוקק לומר </w:t>
      </w:r>
      <w:r>
        <w:rPr>
          <w:rFonts w:cs="David"/>
          <w:sz w:val="24"/>
          <w:szCs w:val="24"/>
          <w:rtl/>
        </w:rPr>
        <w:t>–</w:t>
      </w:r>
      <w:r>
        <w:rPr>
          <w:rFonts w:cs="David" w:hint="cs"/>
          <w:sz w:val="24"/>
          <w:szCs w:val="24"/>
          <w:rtl/>
        </w:rPr>
        <w:t xml:space="preserve"> זו לא תוכנית כבקשתך". </w:t>
      </w:r>
    </w:p>
    <w:p w:rsidR="00DF7CB8" w:rsidRDefault="00DF7CB8" w:rsidP="00833F7D">
      <w:pPr>
        <w:spacing w:line="360" w:lineRule="auto"/>
        <w:jc w:val="both"/>
        <w:rPr>
          <w:rFonts w:cs="David"/>
          <w:sz w:val="24"/>
          <w:szCs w:val="24"/>
          <w:rtl/>
        </w:rPr>
      </w:pPr>
      <w:r w:rsidRPr="00833F7D">
        <w:rPr>
          <w:rFonts w:cs="David" w:hint="cs"/>
          <w:b/>
          <w:bCs/>
          <w:sz w:val="24"/>
          <w:szCs w:val="24"/>
          <w:rtl/>
        </w:rPr>
        <w:t>עמית מררי:</w:t>
      </w:r>
      <w:r>
        <w:rPr>
          <w:rFonts w:cs="David" w:hint="cs"/>
          <w:sz w:val="24"/>
          <w:szCs w:val="24"/>
          <w:rtl/>
        </w:rPr>
        <w:t xml:space="preserve"> "מתגבשת עכשיו הנחייה של היועץ המשפטי למקרים בהם יש צורך מיוחד להורות על חקירת הדלפה". ח"כ </w:t>
      </w:r>
      <w:r w:rsidRPr="00833F7D">
        <w:rPr>
          <w:rFonts w:cs="David" w:hint="cs"/>
          <w:b/>
          <w:bCs/>
          <w:sz w:val="24"/>
          <w:szCs w:val="24"/>
          <w:rtl/>
        </w:rPr>
        <w:t>אמסלם</w:t>
      </w:r>
      <w:r>
        <w:rPr>
          <w:rFonts w:cs="David" w:hint="cs"/>
          <w:sz w:val="24"/>
          <w:szCs w:val="24"/>
          <w:rtl/>
        </w:rPr>
        <w:t>: "יש חוק שאסור להדלי</w:t>
      </w:r>
      <w:r w:rsidR="00833F7D">
        <w:rPr>
          <w:rFonts w:cs="David" w:hint="cs"/>
          <w:sz w:val="24"/>
          <w:szCs w:val="24"/>
          <w:rtl/>
        </w:rPr>
        <w:t>ף</w:t>
      </w:r>
      <w:r>
        <w:rPr>
          <w:rFonts w:cs="David" w:hint="cs"/>
          <w:sz w:val="24"/>
          <w:szCs w:val="24"/>
          <w:rtl/>
        </w:rPr>
        <w:t xml:space="preserve">. למה אתם לא חוקרים הדלפות? אם אסור לגנוב, אתם לא חוקרים את כל הגניבות? רק מה שבא לכם? האזרחים מצפים מכם. לא ידעתי שאתם לא מטפלים בתלונות". </w:t>
      </w:r>
      <w:r w:rsidRPr="00833F7D">
        <w:rPr>
          <w:rFonts w:cs="David" w:hint="cs"/>
          <w:b/>
          <w:bCs/>
          <w:sz w:val="24"/>
          <w:szCs w:val="24"/>
          <w:rtl/>
        </w:rPr>
        <w:t>יניב ועקי</w:t>
      </w:r>
      <w:r>
        <w:rPr>
          <w:rFonts w:cs="David" w:hint="cs"/>
          <w:sz w:val="24"/>
          <w:szCs w:val="24"/>
          <w:rtl/>
        </w:rPr>
        <w:t xml:space="preserve">, פרקליטות המדינה: "לא כל תלונה מעלה חשד סביר. בנסיבות מסוימות התלונה תיחקר". ח"כ </w:t>
      </w:r>
      <w:r w:rsidRPr="00833F7D">
        <w:rPr>
          <w:rFonts w:cs="David" w:hint="cs"/>
          <w:b/>
          <w:bCs/>
          <w:sz w:val="24"/>
          <w:szCs w:val="24"/>
          <w:rtl/>
        </w:rPr>
        <w:t>אלעזר שטרן</w:t>
      </w:r>
      <w:r>
        <w:rPr>
          <w:rFonts w:cs="David" w:hint="cs"/>
          <w:sz w:val="24"/>
          <w:szCs w:val="24"/>
          <w:rtl/>
        </w:rPr>
        <w:t>: "אולי שיחקרו הדלפות מהקבינט?"</w:t>
      </w:r>
      <w:r w:rsidR="00833F7D">
        <w:rPr>
          <w:rFonts w:cs="David" w:hint="cs"/>
          <w:sz w:val="24"/>
          <w:szCs w:val="24"/>
          <w:rtl/>
        </w:rPr>
        <w:t xml:space="preserve"> </w:t>
      </w:r>
      <w:r w:rsidRPr="00833F7D">
        <w:rPr>
          <w:rFonts w:cs="David" w:hint="cs"/>
          <w:b/>
          <w:bCs/>
          <w:sz w:val="24"/>
          <w:szCs w:val="24"/>
          <w:rtl/>
        </w:rPr>
        <w:t>יניב ועקי</w:t>
      </w:r>
      <w:r>
        <w:rPr>
          <w:rFonts w:cs="David" w:hint="cs"/>
          <w:sz w:val="24"/>
          <w:szCs w:val="24"/>
          <w:rtl/>
        </w:rPr>
        <w:t>: "כולנו מסכימים שצריך לטפל בהדלפות. השאלה הדרך. השאלה אם המשפט הפלילי הוא המוצא הראשון, האם להנחות לעזוב את כל הפשיעה ולהתעסק רק בהדלפות".</w:t>
      </w:r>
    </w:p>
    <w:p w:rsidR="00DF7CB8" w:rsidRDefault="00DF7CB8" w:rsidP="00833F7D">
      <w:pPr>
        <w:spacing w:line="360" w:lineRule="auto"/>
        <w:jc w:val="both"/>
        <w:rPr>
          <w:rFonts w:cs="David"/>
          <w:sz w:val="24"/>
          <w:szCs w:val="24"/>
          <w:rtl/>
        </w:rPr>
      </w:pPr>
      <w:r>
        <w:rPr>
          <w:rFonts w:cs="David" w:hint="cs"/>
          <w:sz w:val="24"/>
          <w:szCs w:val="24"/>
          <w:rtl/>
        </w:rPr>
        <w:t>נציגת השב"כ: "תכלית חקירות שב"כ היא סיכול טרור וריגול. של</w:t>
      </w:r>
      <w:r w:rsidR="00833F7D">
        <w:rPr>
          <w:rFonts w:cs="David" w:hint="cs"/>
          <w:sz w:val="24"/>
          <w:szCs w:val="24"/>
          <w:rtl/>
        </w:rPr>
        <w:t>ב</w:t>
      </w:r>
      <w:r>
        <w:rPr>
          <w:rFonts w:cs="David" w:hint="cs"/>
          <w:sz w:val="24"/>
          <w:szCs w:val="24"/>
          <w:rtl/>
        </w:rPr>
        <w:t xml:space="preserve"> ההעמדה לדין הוא קריטי והנו חלק בלתי נפרד ממעגל הסיכול. עבודת החקירה דורשת מומחיות הגוף החוקר, שאמון בין היתר להביא מומחיות</w:t>
      </w:r>
      <w:r w:rsidR="002A6089">
        <w:rPr>
          <w:rFonts w:cs="David" w:hint="cs"/>
          <w:sz w:val="24"/>
          <w:szCs w:val="24"/>
          <w:rtl/>
        </w:rPr>
        <w:t>. השיח מול הפרקליטות קריטי ומחייב אותנו להביע את עמדתנו". יו"ר הוועדה</w:t>
      </w:r>
      <w:r w:rsidR="00833F7D">
        <w:rPr>
          <w:rFonts w:cs="David" w:hint="cs"/>
          <w:sz w:val="24"/>
          <w:szCs w:val="24"/>
          <w:rtl/>
        </w:rPr>
        <w:t xml:space="preserve"> ח"כ </w:t>
      </w:r>
      <w:r w:rsidR="00833F7D" w:rsidRPr="00833F7D">
        <w:rPr>
          <w:rFonts w:cs="David" w:hint="cs"/>
          <w:b/>
          <w:bCs/>
          <w:sz w:val="24"/>
          <w:szCs w:val="24"/>
          <w:rtl/>
        </w:rPr>
        <w:t>אמסלם</w:t>
      </w:r>
      <w:r w:rsidR="002A6089">
        <w:rPr>
          <w:rFonts w:cs="David" w:hint="cs"/>
          <w:sz w:val="24"/>
          <w:szCs w:val="24"/>
          <w:rtl/>
        </w:rPr>
        <w:t xml:space="preserve"> הודיע כי הוא מקבל את עמדת השב"כ, והורה ליועצת המשפטית של הוועדה לשבת איתם כדי להחריגם מהצעת החוק".</w:t>
      </w:r>
    </w:p>
    <w:p w:rsidR="002A6089" w:rsidRDefault="002A6089" w:rsidP="00833F7D">
      <w:pPr>
        <w:spacing w:line="360" w:lineRule="auto"/>
        <w:jc w:val="both"/>
        <w:rPr>
          <w:rFonts w:cs="David"/>
          <w:sz w:val="24"/>
          <w:szCs w:val="24"/>
          <w:rtl/>
        </w:rPr>
      </w:pPr>
      <w:r>
        <w:rPr>
          <w:rFonts w:cs="David" w:hint="cs"/>
          <w:sz w:val="24"/>
          <w:szCs w:val="24"/>
          <w:rtl/>
        </w:rPr>
        <w:t xml:space="preserve">ח"כ </w:t>
      </w:r>
      <w:r w:rsidRPr="00833F7D">
        <w:rPr>
          <w:rFonts w:cs="David" w:hint="cs"/>
          <w:b/>
          <w:bCs/>
          <w:sz w:val="24"/>
          <w:szCs w:val="24"/>
          <w:rtl/>
        </w:rPr>
        <w:t>בני בגין</w:t>
      </w:r>
      <w:r>
        <w:rPr>
          <w:rFonts w:cs="David" w:hint="cs"/>
          <w:sz w:val="24"/>
          <w:szCs w:val="24"/>
          <w:rtl/>
        </w:rPr>
        <w:t xml:space="preserve">: "ניתן לטעון שאין סיבה להעביר לפרקליטות המלצת משטרה, אבל חל שיבוש בכוונה הראשונית </w:t>
      </w:r>
      <w:r>
        <w:rPr>
          <w:rFonts w:cs="David"/>
          <w:sz w:val="24"/>
          <w:szCs w:val="24"/>
          <w:rtl/>
        </w:rPr>
        <w:t>–</w:t>
      </w:r>
      <w:r>
        <w:rPr>
          <w:rFonts w:cs="David" w:hint="cs"/>
          <w:sz w:val="24"/>
          <w:szCs w:val="24"/>
          <w:rtl/>
        </w:rPr>
        <w:t xml:space="preserve"> למנוע מאלפים להיות תחת אמירה מחשידה. זה השתבש מתוך כוונה טובה, למנוע עינוי דין מאלה שהמלצת המשטרה לא להעמידם לדין, אבל נותרנו רק עם התיקים שיש בהם פרקליט מלווה </w:t>
      </w:r>
      <w:r>
        <w:rPr>
          <w:rFonts w:cs="David"/>
          <w:sz w:val="24"/>
          <w:szCs w:val="24"/>
          <w:rtl/>
        </w:rPr>
        <w:t>–</w:t>
      </w:r>
      <w:r>
        <w:rPr>
          <w:rFonts w:cs="David" w:hint="cs"/>
          <w:sz w:val="24"/>
          <w:szCs w:val="24"/>
          <w:rtl/>
        </w:rPr>
        <w:t xml:space="preserve"> 2</w:t>
      </w:r>
      <w:r w:rsidR="00833F7D">
        <w:rPr>
          <w:rFonts w:cs="David" w:hint="cs"/>
          <w:sz w:val="24"/>
          <w:szCs w:val="24"/>
          <w:rtl/>
        </w:rPr>
        <w:t>0</w:t>
      </w:r>
      <w:r>
        <w:rPr>
          <w:rFonts w:cs="David" w:hint="cs"/>
          <w:sz w:val="24"/>
          <w:szCs w:val="24"/>
          <w:rtl/>
        </w:rPr>
        <w:t>0 תיקים בשנה. זאת אומרת שביחס לכוונת החוק המקורי, הצעת החוק עכשיו לא עונה על 99.9%. האם כדאי להמשיך לחוקק</w:t>
      </w:r>
      <w:r w:rsidR="00833F7D">
        <w:rPr>
          <w:rFonts w:cs="David" w:hint="cs"/>
          <w:sz w:val="24"/>
          <w:szCs w:val="24"/>
          <w:rtl/>
        </w:rPr>
        <w:t>?</w:t>
      </w:r>
      <w:r>
        <w:rPr>
          <w:rFonts w:cs="David" w:hint="cs"/>
          <w:sz w:val="24"/>
          <w:szCs w:val="24"/>
          <w:rtl/>
        </w:rPr>
        <w:t xml:space="preserve"> בהצעה אין גם תאריך תחילה. אני מציע </w:t>
      </w:r>
      <w:r w:rsidR="00833F7D">
        <w:rPr>
          <w:rFonts w:cs="David" w:hint="cs"/>
          <w:sz w:val="24"/>
          <w:szCs w:val="24"/>
          <w:rtl/>
        </w:rPr>
        <w:t>שהחוק</w:t>
      </w:r>
      <w:r>
        <w:rPr>
          <w:rFonts w:cs="David" w:hint="cs"/>
          <w:sz w:val="24"/>
          <w:szCs w:val="24"/>
          <w:rtl/>
        </w:rPr>
        <w:t xml:space="preserve"> יחול על חקירות שיתחילו לאחר פרסומו".</w:t>
      </w:r>
    </w:p>
    <w:p w:rsidR="00DF7CB8" w:rsidRDefault="00DF7CB8" w:rsidP="00C46E6D">
      <w:pPr>
        <w:spacing w:line="360" w:lineRule="auto"/>
        <w:jc w:val="both"/>
        <w:rPr>
          <w:rFonts w:cs="David"/>
          <w:sz w:val="24"/>
          <w:szCs w:val="24"/>
          <w:rtl/>
        </w:rPr>
      </w:pPr>
    </w:p>
    <w:p w:rsidR="00DF7CB8" w:rsidRDefault="00DF7CB8" w:rsidP="00C46E6D">
      <w:pPr>
        <w:spacing w:line="360" w:lineRule="auto"/>
        <w:jc w:val="both"/>
        <w:rPr>
          <w:rFonts w:cs="David"/>
          <w:sz w:val="24"/>
          <w:szCs w:val="24"/>
          <w:rtl/>
        </w:rPr>
      </w:pPr>
    </w:p>
    <w:p w:rsidR="002B55DA" w:rsidRPr="00651658" w:rsidRDefault="002B55DA" w:rsidP="002B55DA">
      <w:pPr>
        <w:spacing w:line="360" w:lineRule="auto"/>
        <w:jc w:val="both"/>
        <w:rPr>
          <w:rFonts w:cs="David"/>
          <w:sz w:val="24"/>
          <w:szCs w:val="24"/>
          <w:rtl/>
        </w:rPr>
      </w:pPr>
      <w:r>
        <w:rPr>
          <w:rFonts w:cs="David" w:hint="cs"/>
          <w:sz w:val="24"/>
          <w:szCs w:val="24"/>
          <w:rtl/>
        </w:rPr>
        <w:t>ל</w:t>
      </w:r>
      <w:r w:rsidRPr="00651658">
        <w:rPr>
          <w:rFonts w:cs="David" w:hint="cs"/>
          <w:sz w:val="24"/>
          <w:szCs w:val="24"/>
          <w:rtl/>
        </w:rPr>
        <w:t xml:space="preserve">פרטים </w:t>
      </w:r>
      <w:r w:rsidRPr="00651658">
        <w:rPr>
          <w:rFonts w:cs="David"/>
          <w:sz w:val="24"/>
          <w:szCs w:val="24"/>
          <w:rtl/>
        </w:rPr>
        <w:t>–</w:t>
      </w:r>
      <w:r w:rsidRPr="00651658">
        <w:rPr>
          <w:rFonts w:cs="David" w:hint="cs"/>
          <w:sz w:val="24"/>
          <w:szCs w:val="24"/>
          <w:rtl/>
        </w:rPr>
        <w:t xml:space="preserve"> </w:t>
      </w:r>
    </w:p>
    <w:p w:rsidR="002B55DA" w:rsidRPr="00651658" w:rsidRDefault="002B55DA" w:rsidP="002B55DA">
      <w:pPr>
        <w:spacing w:line="240" w:lineRule="auto"/>
        <w:jc w:val="both"/>
        <w:rPr>
          <w:rFonts w:cs="David"/>
          <w:sz w:val="24"/>
          <w:szCs w:val="24"/>
          <w:rtl/>
        </w:rPr>
      </w:pPr>
      <w:r w:rsidRPr="00651658">
        <w:rPr>
          <w:rFonts w:cs="David" w:hint="cs"/>
          <w:sz w:val="24"/>
          <w:szCs w:val="24"/>
          <w:rtl/>
        </w:rPr>
        <w:t>רבקה קנריק</w:t>
      </w:r>
    </w:p>
    <w:p w:rsidR="002B55DA" w:rsidRPr="00651658" w:rsidRDefault="002B55DA" w:rsidP="002B55DA">
      <w:pPr>
        <w:spacing w:line="240" w:lineRule="auto"/>
        <w:jc w:val="both"/>
        <w:rPr>
          <w:rFonts w:cs="David"/>
          <w:sz w:val="24"/>
          <w:szCs w:val="24"/>
          <w:rtl/>
        </w:rPr>
      </w:pPr>
      <w:r w:rsidRPr="00651658">
        <w:rPr>
          <w:rFonts w:cs="David" w:hint="cs"/>
          <w:sz w:val="24"/>
          <w:szCs w:val="24"/>
          <w:rtl/>
        </w:rPr>
        <w:t>דוברת ועדת הפנים והגנת הסביבה</w:t>
      </w:r>
    </w:p>
    <w:p w:rsidR="002B55DA" w:rsidRPr="00651658" w:rsidRDefault="002B55DA" w:rsidP="002B55D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2B55DA" w:rsidRDefault="002B55DA" w:rsidP="002B55DA">
      <w:r>
        <w:rPr>
          <w:rFonts w:hint="cs"/>
          <w:rtl/>
        </w:rPr>
        <w:t>050-6230458</w:t>
      </w:r>
    </w:p>
    <w:p w:rsidR="002B55DA" w:rsidRPr="00977D55" w:rsidRDefault="002B55DA" w:rsidP="002B55DA"/>
    <w:p w:rsidR="00BF039F" w:rsidRPr="002B55DA" w:rsidRDefault="00B57602"/>
    <w:sectPr w:rsidR="00BF039F" w:rsidRPr="002B55D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5DA"/>
    <w:rsid w:val="00127712"/>
    <w:rsid w:val="002A6089"/>
    <w:rsid w:val="002B55DA"/>
    <w:rsid w:val="006333ED"/>
    <w:rsid w:val="0064481B"/>
    <w:rsid w:val="00833F7D"/>
    <w:rsid w:val="009B3392"/>
    <w:rsid w:val="00B57602"/>
    <w:rsid w:val="00C46E6D"/>
    <w:rsid w:val="00C62F8B"/>
    <w:rsid w:val="00D563DB"/>
    <w:rsid w:val="00DF7CB8"/>
    <w:rsid w:val="00ED1180"/>
    <w:rsid w:val="00FC25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E255B-9706-441A-BE6D-73FDC90A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5D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59AB9B-D2AC-4EB9-97E4-D37549628DDC}"/>
</file>

<file path=customXml/itemProps2.xml><?xml version="1.0" encoding="utf-8"?>
<ds:datastoreItem xmlns:ds="http://schemas.openxmlformats.org/officeDocument/2006/customXml" ds:itemID="{3C3924D3-2EA0-4B45-A22C-3B69476C3940}"/>
</file>

<file path=customXml/itemProps3.xml><?xml version="1.0" encoding="utf-8"?>
<ds:datastoreItem xmlns:ds="http://schemas.openxmlformats.org/officeDocument/2006/customXml" ds:itemID="{64C83C5A-A331-4AE5-8F14-2D808FEEB08B}"/>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2757</Characters>
  <Application>Microsoft Office Word</Application>
  <DocSecurity>4</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ליאת  סעדון</cp:lastModifiedBy>
  <cp:revision>2</cp:revision>
  <dcterms:created xsi:type="dcterms:W3CDTF">2017-11-22T13:06:00Z</dcterms:created>
  <dcterms:modified xsi:type="dcterms:W3CDTF">2017-11-22T13:06:00Z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2023306</vt:r8>
  </property>
</Properties>
</file>