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989" w:rsidRDefault="002A7989" w:rsidP="002A7989">
      <w:pPr>
        <w:jc w:val="center"/>
        <w:rPr>
          <w:color w:val="000080"/>
        </w:rPr>
      </w:pPr>
      <w:r>
        <w:rPr>
          <w:noProof/>
          <w:color w:val="000080"/>
        </w:rPr>
        <w:drawing>
          <wp:inline distT="0" distB="0" distL="0" distR="0" wp14:anchorId="5FA4DB8E" wp14:editId="5287CF5F">
            <wp:extent cx="704850" cy="857250"/>
            <wp:effectExtent l="0" t="0" r="0" b="0"/>
            <wp:docPr id="1" name="תמונה 1" descr="סמל כחול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סמל כחול cop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7989" w:rsidRDefault="002A7989" w:rsidP="002A7989">
      <w:pPr>
        <w:spacing w:after="120"/>
        <w:jc w:val="center"/>
        <w:rPr>
          <w:rFonts w:cs="David"/>
          <w:b/>
          <w:bCs/>
          <w:color w:val="000080"/>
          <w:sz w:val="26"/>
          <w:szCs w:val="26"/>
        </w:rPr>
      </w:pPr>
      <w:r>
        <w:rPr>
          <w:rFonts w:cs="David" w:hint="cs"/>
          <w:b/>
          <w:bCs/>
          <w:color w:val="000080"/>
          <w:sz w:val="26"/>
          <w:szCs w:val="26"/>
          <w:rtl/>
        </w:rPr>
        <w:t>הכנסת</w:t>
      </w:r>
    </w:p>
    <w:p w:rsidR="002A7989" w:rsidRDefault="002A7989" w:rsidP="002A7989">
      <w:pPr>
        <w:spacing w:line="280" w:lineRule="atLeast"/>
        <w:jc w:val="center"/>
        <w:rPr>
          <w:rtl/>
        </w:rPr>
      </w:pPr>
      <w:r>
        <w:rPr>
          <w:rFonts w:hint="cs"/>
          <w:b/>
          <w:bCs/>
          <w:color w:val="000080"/>
          <w:sz w:val="26"/>
          <w:szCs w:val="26"/>
          <w:rtl/>
        </w:rPr>
        <w:t>ועדת הפנים והגנת הסביבה</w:t>
      </w:r>
    </w:p>
    <w:p w:rsidR="002A7989" w:rsidRDefault="002A7989" w:rsidP="002A7989">
      <w:pPr>
        <w:spacing w:line="280" w:lineRule="atLeast"/>
        <w:rPr>
          <w:rtl/>
        </w:rPr>
      </w:pPr>
    </w:p>
    <w:p w:rsidR="002A7989" w:rsidRDefault="002A7989" w:rsidP="002A7989">
      <w:pPr>
        <w:spacing w:line="280" w:lineRule="atLeast"/>
        <w:jc w:val="right"/>
      </w:pPr>
      <w:r>
        <w:rPr>
          <w:rtl/>
        </w:rPr>
        <w:t>ירושלים</w:t>
      </w:r>
      <w:r>
        <w:rPr>
          <w:rFonts w:hint="cs"/>
          <w:rtl/>
        </w:rPr>
        <w:t xml:space="preserve"> , י"ד</w:t>
      </w:r>
      <w:r>
        <w:rPr>
          <w:rFonts w:hint="cs"/>
          <w:rtl/>
        </w:rPr>
        <w:t xml:space="preserve"> בטבת תשע"ז</w:t>
      </w:r>
    </w:p>
    <w:p w:rsidR="002A7989" w:rsidRDefault="002A7989" w:rsidP="002A7989">
      <w:pPr>
        <w:jc w:val="right"/>
        <w:rPr>
          <w:b/>
          <w:bCs/>
          <w:sz w:val="40"/>
          <w:szCs w:val="40"/>
          <w:u w:val="single"/>
          <w:rtl/>
        </w:rPr>
      </w:pPr>
      <w:r>
        <w:rPr>
          <w:rFonts w:hint="cs"/>
          <w:rtl/>
        </w:rPr>
        <w:t>1.1.2018</w:t>
      </w:r>
    </w:p>
    <w:p w:rsidR="002A7989" w:rsidRDefault="002A7989" w:rsidP="002A7989">
      <w:pPr>
        <w:spacing w:line="280" w:lineRule="atLeast"/>
        <w:jc w:val="center"/>
        <w:rPr>
          <w:rFonts w:cs="David"/>
          <w:sz w:val="48"/>
          <w:szCs w:val="48"/>
          <w:u w:val="single"/>
          <w:rtl/>
        </w:rPr>
      </w:pPr>
    </w:p>
    <w:p w:rsidR="002A7989" w:rsidRDefault="002A7989" w:rsidP="002A7989">
      <w:pPr>
        <w:spacing w:line="280" w:lineRule="atLeast"/>
        <w:jc w:val="center"/>
        <w:rPr>
          <w:rFonts w:cs="David"/>
          <w:sz w:val="48"/>
          <w:szCs w:val="48"/>
          <w:u w:val="single"/>
          <w:rtl/>
        </w:rPr>
      </w:pPr>
      <w:r w:rsidRPr="00651658">
        <w:rPr>
          <w:rFonts w:cs="David" w:hint="cs"/>
          <w:sz w:val="48"/>
          <w:szCs w:val="48"/>
          <w:u w:val="single"/>
          <w:rtl/>
        </w:rPr>
        <w:t>הודעה לעיתונות</w:t>
      </w:r>
    </w:p>
    <w:p w:rsidR="002A7989" w:rsidRPr="002A7989" w:rsidRDefault="002A7989" w:rsidP="002A7989">
      <w:pPr>
        <w:spacing w:line="280" w:lineRule="atLeast"/>
        <w:jc w:val="center"/>
        <w:rPr>
          <w:rFonts w:cs="David" w:hint="cs"/>
          <w:b/>
          <w:bCs/>
          <w:sz w:val="48"/>
          <w:szCs w:val="48"/>
          <w:rtl/>
        </w:rPr>
      </w:pPr>
      <w:r w:rsidRPr="002A7989">
        <w:rPr>
          <w:rFonts w:cs="David" w:hint="cs"/>
          <w:b/>
          <w:bCs/>
          <w:sz w:val="48"/>
          <w:szCs w:val="48"/>
          <w:rtl/>
        </w:rPr>
        <w:t>ועדת הפנים דחתה את מאות ההסתייגויו</w:t>
      </w:r>
      <w:r w:rsidRPr="002A7989">
        <w:rPr>
          <w:rFonts w:cs="David" w:hint="eastAsia"/>
          <w:b/>
          <w:bCs/>
          <w:sz w:val="48"/>
          <w:szCs w:val="48"/>
          <w:rtl/>
        </w:rPr>
        <w:t>ת</w:t>
      </w:r>
      <w:r w:rsidRPr="002A7989">
        <w:rPr>
          <w:rFonts w:cs="David" w:hint="cs"/>
          <w:b/>
          <w:bCs/>
          <w:sz w:val="48"/>
          <w:szCs w:val="48"/>
          <w:rtl/>
        </w:rPr>
        <w:t xml:space="preserve"> שהוגשו על חוק המרכולים</w:t>
      </w:r>
    </w:p>
    <w:p w:rsidR="002A7989" w:rsidRPr="002A7989" w:rsidRDefault="002A7989" w:rsidP="002A7989">
      <w:pPr>
        <w:spacing w:line="280" w:lineRule="atLeast"/>
        <w:jc w:val="center"/>
        <w:rPr>
          <w:rFonts w:cs="David"/>
          <w:b/>
          <w:bCs/>
          <w:sz w:val="44"/>
          <w:szCs w:val="44"/>
          <w:rtl/>
        </w:rPr>
      </w:pPr>
      <w:r w:rsidRPr="002A7989">
        <w:rPr>
          <w:rFonts w:cs="David" w:hint="cs"/>
          <w:b/>
          <w:bCs/>
          <w:sz w:val="44"/>
          <w:szCs w:val="44"/>
          <w:rtl/>
        </w:rPr>
        <w:t>יו"ר הווע</w:t>
      </w:r>
      <w:r>
        <w:rPr>
          <w:rFonts w:cs="David" w:hint="cs"/>
          <w:b/>
          <w:bCs/>
          <w:sz w:val="44"/>
          <w:szCs w:val="44"/>
          <w:rtl/>
        </w:rPr>
        <w:t>ד</w:t>
      </w:r>
      <w:r w:rsidRPr="002A7989">
        <w:rPr>
          <w:rFonts w:cs="David" w:hint="cs"/>
          <w:b/>
          <w:bCs/>
          <w:sz w:val="44"/>
          <w:szCs w:val="44"/>
          <w:rtl/>
        </w:rPr>
        <w:t xml:space="preserve">ה דודי אמסלם הודיע כי החוק לא יחול על אילת, וכן לא על חנויות נוחות שליד תחנות דלק </w:t>
      </w:r>
    </w:p>
    <w:p w:rsidR="002A7989" w:rsidRDefault="002A7989" w:rsidP="002A7989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ועדת הפנים בראשות ח"כ </w:t>
      </w:r>
      <w:r w:rsidRPr="002A7989">
        <w:rPr>
          <w:rFonts w:cs="David" w:hint="cs"/>
          <w:b/>
          <w:bCs/>
          <w:sz w:val="24"/>
          <w:szCs w:val="24"/>
          <w:rtl/>
        </w:rPr>
        <w:t>דודי אמסלם</w:t>
      </w:r>
      <w:r>
        <w:rPr>
          <w:rFonts w:cs="David" w:hint="cs"/>
          <w:sz w:val="24"/>
          <w:szCs w:val="24"/>
          <w:rtl/>
        </w:rPr>
        <w:t xml:space="preserve"> דחתה את מאות ההסתייגויו</w:t>
      </w:r>
      <w:r>
        <w:rPr>
          <w:rFonts w:cs="David" w:hint="eastAsia"/>
          <w:sz w:val="24"/>
          <w:szCs w:val="24"/>
          <w:rtl/>
        </w:rPr>
        <w:t>ת</w:t>
      </w:r>
      <w:r>
        <w:rPr>
          <w:rFonts w:cs="David" w:hint="cs"/>
          <w:sz w:val="24"/>
          <w:szCs w:val="24"/>
          <w:rtl/>
        </w:rPr>
        <w:t xml:space="preserve"> שהוגשו על חוק המרכולים, על ידי  המחנה הציוני, יש עתיד, ישראל ביתנו, הרשימה המשותפת, ח"כ </w:t>
      </w:r>
      <w:r w:rsidRPr="002A7989">
        <w:rPr>
          <w:rFonts w:cs="David" w:hint="cs"/>
          <w:b/>
          <w:bCs/>
          <w:sz w:val="24"/>
          <w:szCs w:val="24"/>
          <w:rtl/>
        </w:rPr>
        <w:t xml:space="preserve">אורלי לוי </w:t>
      </w:r>
      <w:proofErr w:type="spellStart"/>
      <w:r w:rsidRPr="002A7989">
        <w:rPr>
          <w:rFonts w:cs="David" w:hint="cs"/>
          <w:b/>
          <w:bCs/>
          <w:sz w:val="24"/>
          <w:szCs w:val="24"/>
          <w:rtl/>
        </w:rPr>
        <w:t>אבקסיס</w:t>
      </w:r>
      <w:proofErr w:type="spellEnd"/>
      <w:r>
        <w:rPr>
          <w:rFonts w:cs="David" w:hint="cs"/>
          <w:sz w:val="24"/>
          <w:szCs w:val="24"/>
          <w:rtl/>
        </w:rPr>
        <w:t xml:space="preserve">, ח"כ </w:t>
      </w:r>
      <w:r w:rsidRPr="002A7989">
        <w:rPr>
          <w:rFonts w:cs="David" w:hint="cs"/>
          <w:b/>
          <w:bCs/>
          <w:sz w:val="24"/>
          <w:szCs w:val="24"/>
          <w:rtl/>
        </w:rPr>
        <w:t>יואב קיש</w:t>
      </w:r>
      <w:r>
        <w:rPr>
          <w:rFonts w:cs="David" w:hint="cs"/>
          <w:sz w:val="24"/>
          <w:szCs w:val="24"/>
          <w:rtl/>
        </w:rPr>
        <w:t xml:space="preserve"> וח"כ </w:t>
      </w:r>
      <w:r w:rsidRPr="002A7989">
        <w:rPr>
          <w:rFonts w:cs="David" w:hint="cs"/>
          <w:b/>
          <w:bCs/>
          <w:sz w:val="24"/>
          <w:szCs w:val="24"/>
          <w:rtl/>
        </w:rPr>
        <w:t>ישראל אייכלר</w:t>
      </w:r>
      <w:r>
        <w:rPr>
          <w:rFonts w:cs="David" w:hint="cs"/>
          <w:sz w:val="24"/>
          <w:szCs w:val="24"/>
          <w:rtl/>
        </w:rPr>
        <w:t>. הוגשה רביזיה על דחיית ההסתייגויו</w:t>
      </w:r>
      <w:r>
        <w:rPr>
          <w:rFonts w:cs="David" w:hint="eastAsia"/>
          <w:sz w:val="24"/>
          <w:szCs w:val="24"/>
          <w:rtl/>
        </w:rPr>
        <w:t>ת</w:t>
      </w:r>
      <w:r>
        <w:rPr>
          <w:rFonts w:cs="David" w:hint="cs"/>
          <w:sz w:val="24"/>
          <w:szCs w:val="24"/>
          <w:rtl/>
        </w:rPr>
        <w:t xml:space="preserve">. </w:t>
      </w:r>
    </w:p>
    <w:p w:rsidR="002A7989" w:rsidRDefault="002A7989" w:rsidP="002A7989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2A7989" w:rsidRDefault="002A7989" w:rsidP="002A7989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בתחילת הדיון הודיע יו"ר הוועדה ח"כ </w:t>
      </w:r>
      <w:r w:rsidRPr="002A7989">
        <w:rPr>
          <w:rFonts w:cs="David" w:hint="cs"/>
          <w:b/>
          <w:bCs/>
          <w:sz w:val="24"/>
          <w:szCs w:val="24"/>
          <w:rtl/>
        </w:rPr>
        <w:t>דודי אמסלם</w:t>
      </w:r>
      <w:r>
        <w:rPr>
          <w:rFonts w:cs="David" w:hint="cs"/>
          <w:sz w:val="24"/>
          <w:szCs w:val="24"/>
          <w:rtl/>
        </w:rPr>
        <w:t xml:space="preserve"> כי החוק יהיה הוראת שעה לחמש שנים, הוא לא יחול באזור סחר חופשי (אילת), וכי הוא מצטרף להסתייגות בדבר חנויות נוחות, כלומר הוא בעד פתיחת חנויות הנוחות שליד תחנות הדלק.</w:t>
      </w:r>
    </w:p>
    <w:p w:rsidR="002A7989" w:rsidRDefault="002A7989" w:rsidP="002A7989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הודעה על מועד הרביזיה וכן על דיון נוסף בחוק וההצבעה עליו תינתן בהמשך.</w:t>
      </w:r>
    </w:p>
    <w:p w:rsidR="002A7989" w:rsidRDefault="002A7989" w:rsidP="002A7989">
      <w:pPr>
        <w:spacing w:line="240" w:lineRule="auto"/>
        <w:jc w:val="both"/>
        <w:rPr>
          <w:rFonts w:cs="David"/>
          <w:sz w:val="24"/>
          <w:szCs w:val="24"/>
          <w:rtl/>
        </w:rPr>
      </w:pPr>
    </w:p>
    <w:p w:rsidR="002A7989" w:rsidRPr="00651658" w:rsidRDefault="002A7989" w:rsidP="002A7989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 xml:space="preserve">לפרטים </w:t>
      </w:r>
      <w:r w:rsidRPr="00651658">
        <w:rPr>
          <w:rFonts w:cs="David"/>
          <w:sz w:val="24"/>
          <w:szCs w:val="24"/>
          <w:rtl/>
        </w:rPr>
        <w:t>–</w:t>
      </w:r>
      <w:r w:rsidRPr="00651658">
        <w:rPr>
          <w:rFonts w:cs="David" w:hint="cs"/>
          <w:sz w:val="24"/>
          <w:szCs w:val="24"/>
          <w:rtl/>
        </w:rPr>
        <w:t xml:space="preserve"> </w:t>
      </w:r>
    </w:p>
    <w:p w:rsidR="002A7989" w:rsidRPr="00651658" w:rsidRDefault="002A7989" w:rsidP="002A7989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>רבקה קנריק</w:t>
      </w:r>
    </w:p>
    <w:p w:rsidR="002A7989" w:rsidRPr="00651658" w:rsidRDefault="002A7989" w:rsidP="002A7989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>דוברת ועדת הפנים והגנת הסביבה</w:t>
      </w:r>
    </w:p>
    <w:p w:rsidR="002A7989" w:rsidRPr="00651658" w:rsidRDefault="002A7989" w:rsidP="002A7989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>והוועדה למאבק בנגעי הסמים והאלכוהול</w:t>
      </w:r>
    </w:p>
    <w:p w:rsidR="002A7989" w:rsidRDefault="002A7989" w:rsidP="002A7989">
      <w:pPr>
        <w:spacing w:line="240" w:lineRule="auto"/>
      </w:pPr>
      <w:r>
        <w:rPr>
          <w:rFonts w:cs="David" w:hint="cs"/>
          <w:sz w:val="24"/>
          <w:szCs w:val="24"/>
          <w:rtl/>
        </w:rPr>
        <w:t>050-6230458</w:t>
      </w:r>
    </w:p>
    <w:p w:rsidR="00BF039F" w:rsidRPr="002A7989" w:rsidRDefault="007946E9">
      <w:pPr>
        <w:rPr>
          <w:rFonts w:hint="cs"/>
        </w:rPr>
      </w:pPr>
    </w:p>
    <w:sectPr w:rsidR="00BF039F" w:rsidRPr="002A7989" w:rsidSect="0064481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989"/>
    <w:rsid w:val="002A7989"/>
    <w:rsid w:val="005F2BD4"/>
    <w:rsid w:val="0064481B"/>
    <w:rsid w:val="007155D2"/>
    <w:rsid w:val="00D246CE"/>
    <w:rsid w:val="00ED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05462B-8636-4599-8304-2AD16CD26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98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84517B-92B5-466C-926A-7E3094FC5F9B}"/>
</file>

<file path=customXml/itemProps2.xml><?xml version="1.0" encoding="utf-8"?>
<ds:datastoreItem xmlns:ds="http://schemas.openxmlformats.org/officeDocument/2006/customXml" ds:itemID="{A4DBB03B-EAF3-4719-B2CC-4DAF2FA9E78C}"/>
</file>

<file path=customXml/itemProps3.xml><?xml version="1.0" encoding="utf-8"?>
<ds:datastoreItem xmlns:ds="http://schemas.openxmlformats.org/officeDocument/2006/customXml" ds:itemID="{F178442C-0B9E-4FF9-9081-E77A251584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141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רבקה קנריק</dc:creator>
  <cp:keywords/>
  <dc:description/>
  <cp:lastModifiedBy/>
  <cp:revision>1</cp:revision>
  <dcterms:created xsi:type="dcterms:W3CDTF">2018-01-01T08:10:00Z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133</vt:r8>
  </property>
  <property fmtid="{D5CDD505-2E9C-101B-9397-08002B2CF9AE}" pid="4" name="SanhedrinItemID">
    <vt:r8>2025658</vt:r8>
  </property>
</Properties>
</file>